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right w:w="72" w:type="dxa"/>
        </w:tblCellMar>
        <w:tblLook w:val="04A0" w:firstRow="1" w:lastRow="0" w:firstColumn="1" w:lastColumn="0" w:noHBand="0" w:noVBand="1"/>
      </w:tblPr>
      <w:tblGrid>
        <w:gridCol w:w="485"/>
        <w:gridCol w:w="1621"/>
        <w:gridCol w:w="627"/>
        <w:gridCol w:w="2748"/>
        <w:gridCol w:w="450"/>
        <w:gridCol w:w="2647"/>
        <w:gridCol w:w="782"/>
      </w:tblGrid>
      <w:tr w:rsidR="00BB4390" w14:paraId="12B0FAB8" w14:textId="77777777" w:rsidTr="001B60D8">
        <w:trPr>
          <w:trHeight w:val="1008"/>
        </w:trPr>
        <w:sdt>
          <w:sdtPr>
            <w:id w:val="-860277065"/>
            <w:placeholder>
              <w:docPart w:val="600726DA644C4E37B840B3D4FFAA3ED5"/>
            </w:placeholder>
          </w:sdtPr>
          <w:sdtEndPr/>
          <w:sdtContent>
            <w:tc>
              <w:tcPr>
                <w:tcW w:w="2133" w:type="dxa"/>
                <w:gridSpan w:val="2"/>
                <w:vAlign w:val="center"/>
              </w:tcPr>
              <w:p w14:paraId="21C6988F" w14:textId="74E482AA" w:rsidR="00BB4390" w:rsidRPr="001445BD" w:rsidRDefault="00FE5EFA" w:rsidP="00D4614A">
                <w:pPr>
                  <w:pStyle w:val="PolicyTitle"/>
                </w:pPr>
                <w:r>
                  <w:t>4-OP-D-2-C</w:t>
                </w:r>
              </w:p>
            </w:tc>
          </w:sdtContent>
        </w:sdt>
        <w:sdt>
          <w:sdtPr>
            <w:rPr>
              <w:szCs w:val="24"/>
            </w:rPr>
            <w:id w:val="-222986732"/>
            <w:placeholder>
              <w:docPart w:val="78787CAD8C994FC5A819C758D13F11B5"/>
            </w:placeholder>
          </w:sdtPr>
          <w:sdtEndPr/>
          <w:sdtContent>
            <w:tc>
              <w:tcPr>
                <w:tcW w:w="7371" w:type="dxa"/>
                <w:gridSpan w:val="5"/>
                <w:vAlign w:val="center"/>
              </w:tcPr>
              <w:p w14:paraId="5AD75A53" w14:textId="4F501DDD" w:rsidR="00BB4390" w:rsidRPr="00FE5EFA" w:rsidRDefault="00762996" w:rsidP="00762996">
                <w:pPr>
                  <w:pStyle w:val="PolicyTitle"/>
                  <w:rPr>
                    <w:szCs w:val="24"/>
                  </w:rPr>
                </w:pPr>
                <w:r w:rsidRPr="00FE5EFA">
                  <w:rPr>
                    <w:szCs w:val="24"/>
                  </w:rPr>
                  <w:t>payables and disbursements</w:t>
                </w:r>
              </w:p>
            </w:tc>
          </w:sdtContent>
        </w:sdt>
      </w:tr>
      <w:tr w:rsidR="001445BD" w14:paraId="5AC9441D" w14:textId="77777777" w:rsidTr="00DC4C22">
        <w:trPr>
          <w:trHeight w:val="20"/>
        </w:trPr>
        <w:tc>
          <w:tcPr>
            <w:tcW w:w="2764" w:type="dxa"/>
            <w:gridSpan w:val="3"/>
            <w:vAlign w:val="center"/>
          </w:tcPr>
          <w:p w14:paraId="2A8F3325" w14:textId="77777777" w:rsidR="001445BD" w:rsidRPr="001445BD" w:rsidRDefault="005E3BE7" w:rsidP="00A9711A">
            <w:pPr>
              <w:spacing w:after="0"/>
              <w:rPr>
                <w:rStyle w:val="Strong"/>
              </w:rPr>
            </w:pPr>
            <w:r>
              <w:rPr>
                <w:rStyle w:val="Strong"/>
              </w:rPr>
              <w:t>Responsible Executive:</w:t>
            </w:r>
          </w:p>
        </w:tc>
        <w:sdt>
          <w:sdtPr>
            <w:rPr>
              <w:sz w:val="24"/>
              <w:szCs w:val="24"/>
            </w:rPr>
            <w:alias w:val="Responsible Executive"/>
            <w:tag w:val="Responsible Executive"/>
            <w:id w:val="1564756064"/>
            <w:lock w:val="sdtLocked"/>
            <w:placeholder>
              <w:docPart w:val="4687E60E0055460DBA87ECCB857A5303"/>
            </w:placeholder>
          </w:sdtPr>
          <w:sdtEndPr/>
          <w:sdtContent>
            <w:tc>
              <w:tcPr>
                <w:tcW w:w="6740" w:type="dxa"/>
                <w:gridSpan w:val="4"/>
                <w:vAlign w:val="center"/>
              </w:tcPr>
              <w:p w14:paraId="52A9E529" w14:textId="77777777" w:rsidR="001445BD" w:rsidRPr="00FE5EFA" w:rsidRDefault="00762996" w:rsidP="00762996">
                <w:pPr>
                  <w:spacing w:after="0"/>
                  <w:rPr>
                    <w:sz w:val="24"/>
                    <w:szCs w:val="24"/>
                  </w:rPr>
                </w:pPr>
                <w:r w:rsidRPr="00FE5EFA">
                  <w:rPr>
                    <w:sz w:val="24"/>
                    <w:szCs w:val="24"/>
                  </w:rPr>
                  <w:t>Finance and Administration</w:t>
                </w:r>
              </w:p>
            </w:tc>
          </w:sdtContent>
        </w:sdt>
      </w:tr>
      <w:tr w:rsidR="001445BD" w14:paraId="726F417F" w14:textId="77777777" w:rsidTr="00DC4C22">
        <w:trPr>
          <w:trHeight w:val="20"/>
        </w:trPr>
        <w:tc>
          <w:tcPr>
            <w:tcW w:w="2764" w:type="dxa"/>
            <w:gridSpan w:val="3"/>
            <w:vAlign w:val="center"/>
          </w:tcPr>
          <w:p w14:paraId="7646EDCA" w14:textId="77777777" w:rsidR="001445BD" w:rsidRPr="001445BD" w:rsidRDefault="005E3BE7" w:rsidP="00A9711A">
            <w:pPr>
              <w:spacing w:after="0"/>
              <w:rPr>
                <w:rStyle w:val="Strong"/>
              </w:rPr>
            </w:pPr>
            <w:r>
              <w:rPr>
                <w:rStyle w:val="Strong"/>
              </w:rPr>
              <w:t>Approving Official:</w:t>
            </w:r>
          </w:p>
        </w:tc>
        <w:sdt>
          <w:sdtPr>
            <w:rPr>
              <w:sz w:val="24"/>
              <w:szCs w:val="24"/>
            </w:rPr>
            <w:alias w:val="Approving Official"/>
            <w:tag w:val="Approving Official"/>
            <w:id w:val="1739746219"/>
            <w:lock w:val="sdtLocked"/>
            <w:placeholder>
              <w:docPart w:val="244704BE770947178617C12534B943CA"/>
            </w:placeholder>
          </w:sdtPr>
          <w:sdtEndPr/>
          <w:sdtContent>
            <w:tc>
              <w:tcPr>
                <w:tcW w:w="6740" w:type="dxa"/>
                <w:gridSpan w:val="4"/>
                <w:vAlign w:val="center"/>
              </w:tcPr>
              <w:p w14:paraId="1A1D55BF" w14:textId="5BE34BE2" w:rsidR="001445BD" w:rsidRPr="00FE5EFA" w:rsidRDefault="00FF3B78" w:rsidP="00A9711A">
                <w:pPr>
                  <w:spacing w:after="0"/>
                  <w:rPr>
                    <w:sz w:val="24"/>
                    <w:szCs w:val="24"/>
                  </w:rPr>
                </w:pPr>
                <w:r w:rsidRPr="00FE5EFA">
                  <w:rPr>
                    <w:sz w:val="24"/>
                    <w:szCs w:val="24"/>
                  </w:rPr>
                  <w:t>Vice President for Finance and Administration</w:t>
                </w:r>
              </w:p>
            </w:tc>
          </w:sdtContent>
        </w:sdt>
      </w:tr>
      <w:tr w:rsidR="001445BD" w14:paraId="6645EBD1" w14:textId="77777777" w:rsidTr="00DC4C22">
        <w:trPr>
          <w:trHeight w:val="20"/>
        </w:trPr>
        <w:tc>
          <w:tcPr>
            <w:tcW w:w="2764" w:type="dxa"/>
            <w:gridSpan w:val="3"/>
            <w:vAlign w:val="center"/>
          </w:tcPr>
          <w:p w14:paraId="31309F6C" w14:textId="77777777" w:rsidR="001445BD" w:rsidRPr="001445BD" w:rsidRDefault="005E3BE7" w:rsidP="00A9711A">
            <w:pPr>
              <w:spacing w:after="0"/>
              <w:rPr>
                <w:rStyle w:val="Strong"/>
              </w:rPr>
            </w:pPr>
            <w:r>
              <w:rPr>
                <w:rStyle w:val="Strong"/>
              </w:rPr>
              <w:t>Effective Date:</w:t>
            </w:r>
          </w:p>
        </w:tc>
        <w:sdt>
          <w:sdtPr>
            <w:rPr>
              <w:sz w:val="24"/>
              <w:szCs w:val="24"/>
            </w:rPr>
            <w:alias w:val="Effective Date"/>
            <w:tag w:val="Effective Date"/>
            <w:id w:val="525527993"/>
            <w:lock w:val="sdtLocked"/>
            <w:placeholder>
              <w:docPart w:val="78125ACC90C941E88AB61F1A2A876998"/>
            </w:placeholder>
          </w:sdtPr>
          <w:sdtEndPr/>
          <w:sdtContent>
            <w:tc>
              <w:tcPr>
                <w:tcW w:w="6740" w:type="dxa"/>
                <w:gridSpan w:val="4"/>
                <w:vAlign w:val="center"/>
              </w:tcPr>
              <w:p w14:paraId="3160B67F" w14:textId="03C283B8" w:rsidR="001445BD" w:rsidRPr="00FE5EFA" w:rsidRDefault="00C763A2" w:rsidP="00120F59">
                <w:pPr>
                  <w:spacing w:after="0"/>
                  <w:rPr>
                    <w:sz w:val="24"/>
                    <w:szCs w:val="24"/>
                  </w:rPr>
                </w:pPr>
                <w:r>
                  <w:rPr>
                    <w:sz w:val="24"/>
                    <w:szCs w:val="24"/>
                  </w:rPr>
                  <w:t>TBD</w:t>
                </w:r>
              </w:p>
            </w:tc>
          </w:sdtContent>
        </w:sdt>
      </w:tr>
      <w:tr w:rsidR="001445BD" w14:paraId="416444F0" w14:textId="77777777" w:rsidTr="00C15D32">
        <w:trPr>
          <w:trHeight w:val="20"/>
        </w:trPr>
        <w:tc>
          <w:tcPr>
            <w:tcW w:w="2764" w:type="dxa"/>
            <w:gridSpan w:val="3"/>
          </w:tcPr>
          <w:p w14:paraId="2374AE48" w14:textId="77777777" w:rsidR="001445BD" w:rsidRPr="001445BD" w:rsidRDefault="00D4614A" w:rsidP="00C15D32">
            <w:pPr>
              <w:spacing w:after="0"/>
              <w:rPr>
                <w:rStyle w:val="Strong"/>
              </w:rPr>
            </w:pPr>
            <w:r>
              <w:rPr>
                <w:rStyle w:val="Strong"/>
              </w:rPr>
              <w:t>Revision History:</w:t>
            </w:r>
          </w:p>
        </w:tc>
        <w:sdt>
          <w:sdtPr>
            <w:rPr>
              <w:sz w:val="24"/>
              <w:szCs w:val="24"/>
            </w:rPr>
            <w:alias w:val="Revision History"/>
            <w:tag w:val="Revision History"/>
            <w:id w:val="-1932571921"/>
            <w:lock w:val="sdtLocked"/>
            <w:placeholder>
              <w:docPart w:val="C5EF3BFB5D1446A085FC25A3981906CC"/>
            </w:placeholder>
          </w:sdtPr>
          <w:sdtEndPr/>
          <w:sdtContent>
            <w:tc>
              <w:tcPr>
                <w:tcW w:w="6740" w:type="dxa"/>
                <w:gridSpan w:val="4"/>
                <w:vAlign w:val="center"/>
              </w:tcPr>
              <w:p w14:paraId="4E4ED593" w14:textId="1D0A25CB" w:rsidR="001445BD" w:rsidRPr="00FE5EFA" w:rsidRDefault="00C763A2" w:rsidP="00762996">
                <w:pPr>
                  <w:spacing w:after="0"/>
                  <w:rPr>
                    <w:sz w:val="24"/>
                    <w:szCs w:val="24"/>
                  </w:rPr>
                </w:pPr>
                <w:r>
                  <w:rPr>
                    <w:sz w:val="24"/>
                    <w:szCs w:val="24"/>
                  </w:rPr>
                  <w:t xml:space="preserve">New, </w:t>
                </w:r>
                <w:r w:rsidR="00762996" w:rsidRPr="00FE5EFA">
                  <w:rPr>
                    <w:sz w:val="24"/>
                    <w:szCs w:val="24"/>
                  </w:rPr>
                  <w:t>October 3,</w:t>
                </w:r>
                <w:r w:rsidR="00C44360" w:rsidRPr="00FE5EFA">
                  <w:rPr>
                    <w:sz w:val="24"/>
                    <w:szCs w:val="24"/>
                  </w:rPr>
                  <w:t xml:space="preserve"> </w:t>
                </w:r>
                <w:r w:rsidR="00762996" w:rsidRPr="00FE5EFA">
                  <w:rPr>
                    <w:sz w:val="24"/>
                    <w:szCs w:val="24"/>
                  </w:rPr>
                  <w:t>2014</w:t>
                </w:r>
                <w:r w:rsidR="0056041C" w:rsidRPr="00FE5EFA">
                  <w:rPr>
                    <w:sz w:val="24"/>
                    <w:szCs w:val="24"/>
                  </w:rPr>
                  <w:t>,</w:t>
                </w:r>
                <w:r>
                  <w:rPr>
                    <w:sz w:val="24"/>
                    <w:szCs w:val="24"/>
                  </w:rPr>
                  <w:t xml:space="preserve"> </w:t>
                </w:r>
                <w:r w:rsidR="0056041C" w:rsidRPr="00FE5EFA">
                  <w:rPr>
                    <w:sz w:val="24"/>
                    <w:szCs w:val="24"/>
                  </w:rPr>
                  <w:t>May 15, 2018 (formatting only)</w:t>
                </w:r>
                <w:r w:rsidR="00843B26">
                  <w:rPr>
                    <w:sz w:val="24"/>
                    <w:szCs w:val="24"/>
                  </w:rPr>
                  <w:t>, October 26, 2020</w:t>
                </w:r>
              </w:p>
            </w:tc>
          </w:sdtContent>
        </w:sdt>
      </w:tr>
      <w:tr w:rsidR="00D4614A" w14:paraId="68B83E1C" w14:textId="77777777" w:rsidTr="001B60D8">
        <w:trPr>
          <w:trHeight w:val="432"/>
        </w:trPr>
        <w:tc>
          <w:tcPr>
            <w:tcW w:w="2764" w:type="dxa"/>
            <w:gridSpan w:val="3"/>
            <w:vAlign w:val="center"/>
          </w:tcPr>
          <w:p w14:paraId="3EB5918A" w14:textId="77777777" w:rsidR="00D4614A" w:rsidRPr="001445BD" w:rsidRDefault="00D4614A" w:rsidP="00BB4390">
            <w:pPr>
              <w:rPr>
                <w:rStyle w:val="Strong"/>
              </w:rPr>
            </w:pPr>
          </w:p>
        </w:tc>
        <w:tc>
          <w:tcPr>
            <w:tcW w:w="6740" w:type="dxa"/>
            <w:gridSpan w:val="4"/>
            <w:vAlign w:val="center"/>
          </w:tcPr>
          <w:p w14:paraId="569D399E" w14:textId="77777777" w:rsidR="00D4614A" w:rsidRDefault="00D4614A" w:rsidP="00BB4390"/>
        </w:tc>
      </w:tr>
      <w:tr w:rsidR="00B6798D" w14:paraId="2590E603" w14:textId="77777777" w:rsidTr="00A9711A">
        <w:trPr>
          <w:trHeight w:val="20"/>
        </w:trPr>
        <w:tc>
          <w:tcPr>
            <w:tcW w:w="485" w:type="dxa"/>
            <w:vAlign w:val="center"/>
          </w:tcPr>
          <w:p w14:paraId="7F339E98" w14:textId="77777777" w:rsidR="00B6798D" w:rsidRPr="001B60D8" w:rsidRDefault="001B60D8" w:rsidP="001B60D8">
            <w:pPr>
              <w:pStyle w:val="PolicyTitle"/>
            </w:pPr>
            <w:r w:rsidRPr="001B60D8">
              <w:t>I.</w:t>
            </w:r>
          </w:p>
        </w:tc>
        <w:tc>
          <w:tcPr>
            <w:tcW w:w="9019" w:type="dxa"/>
            <w:gridSpan w:val="6"/>
            <w:vAlign w:val="center"/>
          </w:tcPr>
          <w:p w14:paraId="7A583908" w14:textId="77777777" w:rsidR="00B6798D" w:rsidRPr="001B60D8" w:rsidRDefault="00B6798D" w:rsidP="001B60D8">
            <w:pPr>
              <w:pStyle w:val="PolicyTitle"/>
            </w:pPr>
            <w:r w:rsidRPr="001B60D8">
              <w:t>INTRODUCTION</w:t>
            </w:r>
          </w:p>
        </w:tc>
      </w:tr>
      <w:tr w:rsidR="00B6798D" w14:paraId="7859485B" w14:textId="77777777" w:rsidTr="001B60D8">
        <w:trPr>
          <w:trHeight w:val="432"/>
        </w:trPr>
        <w:tc>
          <w:tcPr>
            <w:tcW w:w="485" w:type="dxa"/>
            <w:vAlign w:val="center"/>
          </w:tcPr>
          <w:p w14:paraId="42D4CF8A" w14:textId="77777777" w:rsidR="00B6798D" w:rsidRDefault="00B6798D" w:rsidP="00C911D9"/>
        </w:tc>
        <w:sdt>
          <w:sdtPr>
            <w:rPr>
              <w:sz w:val="24"/>
              <w:szCs w:val="24"/>
            </w:rPr>
            <w:alias w:val="Introduction"/>
            <w:tag w:val="Introduction"/>
            <w:id w:val="130066500"/>
            <w:placeholder>
              <w:docPart w:val="DEB785AAF3A245529F5A6C15F744E444"/>
            </w:placeholder>
          </w:sdtPr>
          <w:sdtEndPr/>
          <w:sdtContent>
            <w:tc>
              <w:tcPr>
                <w:tcW w:w="9019" w:type="dxa"/>
                <w:gridSpan w:val="6"/>
                <w:vAlign w:val="center"/>
              </w:tcPr>
              <w:p w14:paraId="0EB845CC" w14:textId="38653108" w:rsidR="00120F59" w:rsidRPr="00FE5EFA" w:rsidRDefault="00120F59" w:rsidP="00120F59">
                <w:pPr>
                  <w:pStyle w:val="ListParagraph"/>
                  <w:numPr>
                    <w:ilvl w:val="0"/>
                    <w:numId w:val="4"/>
                  </w:numPr>
                  <w:shd w:val="clear" w:color="auto" w:fill="F2F2F2"/>
                  <w:spacing w:after="150"/>
                  <w:rPr>
                    <w:rFonts w:eastAsia="Times New Roman"/>
                    <w:color w:val="000000" w:themeColor="text1"/>
                    <w:sz w:val="24"/>
                    <w:szCs w:val="24"/>
                  </w:rPr>
                </w:pPr>
                <w:r w:rsidRPr="00FE5EFA">
                  <w:rPr>
                    <w:rFonts w:eastAsia="Times New Roman"/>
                    <w:b/>
                    <w:bCs/>
                    <w:color w:val="000000" w:themeColor="text1"/>
                    <w:sz w:val="24"/>
                    <w:szCs w:val="24"/>
                  </w:rPr>
                  <w:t>OBJECTIVE</w:t>
                </w:r>
              </w:p>
              <w:p w14:paraId="4E5A693E" w14:textId="1F238F94" w:rsidR="00120F59" w:rsidRPr="00FE5EFA" w:rsidRDefault="00120F59" w:rsidP="00120F59">
                <w:pPr>
                  <w:shd w:val="clear" w:color="auto" w:fill="F2F2F2"/>
                  <w:spacing w:after="150"/>
                  <w:ind w:left="1065"/>
                  <w:rPr>
                    <w:rFonts w:eastAsia="Times New Roman"/>
                    <w:color w:val="2C2A29"/>
                    <w:sz w:val="24"/>
                    <w:szCs w:val="24"/>
                  </w:rPr>
                </w:pPr>
                <w:bookmarkStart w:id="0" w:name="1.01"/>
                <w:bookmarkEnd w:id="0"/>
                <w:r w:rsidRPr="00FE5EFA">
                  <w:rPr>
                    <w:rFonts w:eastAsia="Times New Roman"/>
                    <w:color w:val="2C2A29"/>
                    <w:sz w:val="24"/>
                    <w:szCs w:val="24"/>
                  </w:rPr>
                  <w:t xml:space="preserve">The purpose of this policy is to provide departments with uniform and consistent direction to ensure that </w:t>
                </w:r>
                <w:r w:rsidR="00ED66AA" w:rsidRPr="00FE5EFA">
                  <w:rPr>
                    <w:rFonts w:eastAsia="Times New Roman"/>
                    <w:color w:val="2C2A29"/>
                    <w:sz w:val="24"/>
                    <w:szCs w:val="24"/>
                  </w:rPr>
                  <w:t xml:space="preserve">authorized </w:t>
                </w:r>
                <w:r w:rsidRPr="00FE5EFA">
                  <w:rPr>
                    <w:rFonts w:eastAsia="Times New Roman"/>
                    <w:color w:val="2C2A29"/>
                    <w:sz w:val="24"/>
                    <w:szCs w:val="24"/>
                  </w:rPr>
                  <w:t>expenditure</w:t>
                </w:r>
                <w:r w:rsidR="00ED66AA" w:rsidRPr="00FE5EFA">
                  <w:rPr>
                    <w:rFonts w:eastAsia="Times New Roman"/>
                    <w:color w:val="2C2A29"/>
                    <w:sz w:val="24"/>
                    <w:szCs w:val="24"/>
                  </w:rPr>
                  <w:t>s</w:t>
                </w:r>
                <w:r w:rsidRPr="00FE5EFA">
                  <w:rPr>
                    <w:rFonts w:eastAsia="Times New Roman"/>
                    <w:color w:val="2C2A29"/>
                    <w:sz w:val="24"/>
                    <w:szCs w:val="24"/>
                  </w:rPr>
                  <w:t xml:space="preserve"> </w:t>
                </w:r>
                <w:r w:rsidR="00ED66AA" w:rsidRPr="00FE5EFA">
                  <w:rPr>
                    <w:rFonts w:eastAsia="Times New Roman"/>
                    <w:color w:val="2C2A29"/>
                    <w:sz w:val="24"/>
                    <w:szCs w:val="24"/>
                  </w:rPr>
                  <w:t xml:space="preserve">are </w:t>
                </w:r>
                <w:r w:rsidR="008C7F79" w:rsidRPr="00FE5EFA">
                  <w:rPr>
                    <w:rFonts w:eastAsia="Times New Roman"/>
                    <w:color w:val="2C2A29"/>
                    <w:sz w:val="24"/>
                    <w:szCs w:val="24"/>
                  </w:rPr>
                  <w:t>disbursed</w:t>
                </w:r>
                <w:r w:rsidRPr="00FE5EFA">
                  <w:rPr>
                    <w:rFonts w:eastAsia="Times New Roman"/>
                    <w:color w:val="2C2A29"/>
                    <w:sz w:val="24"/>
                    <w:szCs w:val="24"/>
                  </w:rPr>
                  <w:t xml:space="preserve"> consistent with the </w:t>
                </w:r>
                <w:r w:rsidR="00207A65" w:rsidRPr="00FE5EFA">
                  <w:rPr>
                    <w:rFonts w:eastAsia="Times New Roman"/>
                    <w:color w:val="2C2A29"/>
                    <w:sz w:val="24"/>
                    <w:szCs w:val="24"/>
                  </w:rPr>
                  <w:t>U</w:t>
                </w:r>
                <w:r w:rsidRPr="00FE5EFA">
                  <w:rPr>
                    <w:rFonts w:eastAsia="Times New Roman"/>
                    <w:color w:val="2C2A29"/>
                    <w:sz w:val="24"/>
                    <w:szCs w:val="24"/>
                  </w:rPr>
                  <w:t>niversity’s mission, applicable laws</w:t>
                </w:r>
                <w:r w:rsidR="00D562CD" w:rsidRPr="00FE5EFA">
                  <w:rPr>
                    <w:rFonts w:eastAsia="Times New Roman"/>
                    <w:color w:val="2C2A29"/>
                    <w:sz w:val="24"/>
                    <w:szCs w:val="24"/>
                  </w:rPr>
                  <w:t>,</w:t>
                </w:r>
                <w:r w:rsidRPr="00FE5EFA">
                  <w:rPr>
                    <w:rFonts w:eastAsia="Times New Roman"/>
                    <w:color w:val="2C2A29"/>
                    <w:sz w:val="24"/>
                    <w:szCs w:val="24"/>
                  </w:rPr>
                  <w:t xml:space="preserve"> and ethical practices.  </w:t>
                </w:r>
              </w:p>
              <w:p w14:paraId="715BC82D" w14:textId="55D3CB63" w:rsidR="00120F59" w:rsidRPr="00FE5EFA" w:rsidRDefault="00120F59" w:rsidP="00120F59">
                <w:pPr>
                  <w:pStyle w:val="ListParagraph"/>
                  <w:numPr>
                    <w:ilvl w:val="0"/>
                    <w:numId w:val="4"/>
                  </w:numPr>
                  <w:shd w:val="clear" w:color="auto" w:fill="F2F2F2"/>
                  <w:spacing w:after="150"/>
                  <w:rPr>
                    <w:rFonts w:eastAsia="Times New Roman"/>
                    <w:b/>
                    <w:bCs/>
                    <w:color w:val="000000" w:themeColor="text1"/>
                    <w:sz w:val="24"/>
                    <w:szCs w:val="24"/>
                  </w:rPr>
                </w:pPr>
                <w:bookmarkStart w:id="1" w:name="1.02"/>
                <w:r w:rsidRPr="00FE5EFA">
                  <w:rPr>
                    <w:rFonts w:eastAsia="Times New Roman"/>
                    <w:b/>
                    <w:bCs/>
                    <w:color w:val="000000" w:themeColor="text1"/>
                    <w:sz w:val="24"/>
                    <w:szCs w:val="24"/>
                  </w:rPr>
                  <w:t xml:space="preserve"> DEFINITIONS</w:t>
                </w:r>
                <w:bookmarkEnd w:id="1"/>
              </w:p>
              <w:p w14:paraId="318BC3C6" w14:textId="296A7DE9" w:rsidR="00630C46" w:rsidRPr="00FE5EFA" w:rsidRDefault="00630C46"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 xml:space="preserve">Authorized Signer </w:t>
                </w:r>
                <w:r w:rsidR="00AB0EA9" w:rsidRPr="00FE5EFA">
                  <w:rPr>
                    <w:rFonts w:eastAsia="Times New Roman"/>
                    <w:b/>
                    <w:bCs/>
                    <w:color w:val="2C2A29"/>
                    <w:sz w:val="24"/>
                    <w:szCs w:val="24"/>
                  </w:rPr>
                  <w:t>–</w:t>
                </w:r>
                <w:r w:rsidRPr="00FE5EFA">
                  <w:rPr>
                    <w:rFonts w:eastAsia="Times New Roman"/>
                    <w:b/>
                    <w:bCs/>
                    <w:color w:val="2C2A29"/>
                    <w:sz w:val="24"/>
                    <w:szCs w:val="24"/>
                  </w:rPr>
                  <w:t xml:space="preserve"> </w:t>
                </w:r>
                <w:r w:rsidR="00AB0EA9" w:rsidRPr="00FE5EFA">
                  <w:rPr>
                    <w:rFonts w:eastAsia="Times New Roman"/>
                    <w:color w:val="2C2A29"/>
                    <w:sz w:val="24"/>
                    <w:szCs w:val="24"/>
                  </w:rPr>
                  <w:t>Personnel granted the authority to approve transactions that impact a department’s budget or financial position.</w:t>
                </w:r>
              </w:p>
              <w:p w14:paraId="56CE7AB3" w14:textId="60161C34" w:rsidR="00451FA1" w:rsidRPr="00FE5EFA" w:rsidRDefault="00451FA1" w:rsidP="00120F59">
                <w:pPr>
                  <w:shd w:val="clear" w:color="auto" w:fill="F2F2F2"/>
                  <w:spacing w:after="150"/>
                  <w:ind w:left="1065"/>
                  <w:rPr>
                    <w:rFonts w:eastAsia="Times New Roman"/>
                    <w:b/>
                    <w:bCs/>
                    <w:color w:val="2C2A29"/>
                    <w:sz w:val="24"/>
                    <w:szCs w:val="24"/>
                  </w:rPr>
                </w:pPr>
                <w:r w:rsidRPr="00FE5EFA">
                  <w:rPr>
                    <w:rFonts w:eastAsia="Times New Roman"/>
                    <w:b/>
                    <w:bCs/>
                    <w:color w:val="2C2A29"/>
                    <w:sz w:val="24"/>
                    <w:szCs w:val="24"/>
                  </w:rPr>
                  <w:t>Budget Manager</w:t>
                </w:r>
                <w:r w:rsidR="003E0CA6" w:rsidRPr="00FE5EFA">
                  <w:rPr>
                    <w:rFonts w:eastAsia="Times New Roman"/>
                    <w:b/>
                    <w:bCs/>
                    <w:color w:val="2C2A29"/>
                    <w:sz w:val="24"/>
                    <w:szCs w:val="24"/>
                  </w:rPr>
                  <w:t xml:space="preserve"> </w:t>
                </w:r>
                <w:r w:rsidR="00FE5EFA" w:rsidRPr="00FE5EFA">
                  <w:rPr>
                    <w:rFonts w:eastAsia="Times New Roman"/>
                    <w:color w:val="2C2A29"/>
                    <w:sz w:val="24"/>
                    <w:szCs w:val="24"/>
                  </w:rPr>
                  <w:t>–</w:t>
                </w:r>
                <w:r w:rsidR="003E0CA6" w:rsidRPr="00FE5EFA">
                  <w:rPr>
                    <w:rFonts w:eastAsia="Times New Roman"/>
                    <w:b/>
                    <w:bCs/>
                    <w:color w:val="2C2A29"/>
                    <w:sz w:val="24"/>
                    <w:szCs w:val="24"/>
                  </w:rPr>
                  <w:t xml:space="preserve"> </w:t>
                </w:r>
                <w:r w:rsidR="003E0CA6" w:rsidRPr="00FE5EFA">
                  <w:rPr>
                    <w:sz w:val="24"/>
                    <w:szCs w:val="24"/>
                  </w:rPr>
                  <w:t xml:space="preserve">The official contact for </w:t>
                </w:r>
                <w:r w:rsidR="005B4CE0" w:rsidRPr="00FE5EFA">
                  <w:rPr>
                    <w:sz w:val="24"/>
                    <w:szCs w:val="24"/>
                  </w:rPr>
                  <w:t>a</w:t>
                </w:r>
                <w:r w:rsidR="003E0CA6" w:rsidRPr="00FE5EFA">
                  <w:rPr>
                    <w:sz w:val="24"/>
                    <w:szCs w:val="24"/>
                  </w:rPr>
                  <w:t xml:space="preserve"> department on financial matters</w:t>
                </w:r>
                <w:r w:rsidR="005B4CE0" w:rsidRPr="00FE5EFA">
                  <w:rPr>
                    <w:sz w:val="24"/>
                    <w:szCs w:val="24"/>
                  </w:rPr>
                  <w:t>.</w:t>
                </w:r>
              </w:p>
              <w:p w14:paraId="691B4AD3" w14:textId="623B4B48"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 xml:space="preserve">Concur – </w:t>
                </w:r>
                <w:r w:rsidRPr="00FE5EFA">
                  <w:rPr>
                    <w:rFonts w:eastAsia="Times New Roman"/>
                    <w:bCs/>
                    <w:color w:val="2C2A29"/>
                    <w:sz w:val="24"/>
                    <w:szCs w:val="24"/>
                  </w:rPr>
                  <w:t xml:space="preserve">The University’s </w:t>
                </w:r>
                <w:r w:rsidR="00D562CD" w:rsidRPr="00FE5EFA">
                  <w:rPr>
                    <w:rFonts w:eastAsia="Times New Roman"/>
                    <w:bCs/>
                    <w:color w:val="2C2A29"/>
                    <w:sz w:val="24"/>
                    <w:szCs w:val="24"/>
                  </w:rPr>
                  <w:t>t</w:t>
                </w:r>
                <w:r w:rsidRPr="00FE5EFA">
                  <w:rPr>
                    <w:rFonts w:eastAsia="Times New Roman"/>
                    <w:bCs/>
                    <w:color w:val="2C2A29"/>
                    <w:sz w:val="24"/>
                    <w:szCs w:val="24"/>
                  </w:rPr>
                  <w:t xml:space="preserve">ravel and </w:t>
                </w:r>
                <w:r w:rsidR="002F0590" w:rsidRPr="00FE5EFA">
                  <w:rPr>
                    <w:rFonts w:eastAsia="Times New Roman"/>
                    <w:bCs/>
                    <w:color w:val="2C2A29"/>
                    <w:sz w:val="24"/>
                    <w:szCs w:val="24"/>
                  </w:rPr>
                  <w:t>e</w:t>
                </w:r>
                <w:r w:rsidRPr="00FE5EFA">
                  <w:rPr>
                    <w:rFonts w:eastAsia="Times New Roman"/>
                    <w:bCs/>
                    <w:color w:val="2C2A29"/>
                    <w:sz w:val="24"/>
                    <w:szCs w:val="24"/>
                  </w:rPr>
                  <w:t>xpense reimbursement system.</w:t>
                </w:r>
              </w:p>
              <w:p w14:paraId="55751E5B" w14:textId="71650F10" w:rsidR="00233734" w:rsidRPr="00FE5EFA" w:rsidRDefault="006E0BAE" w:rsidP="006B157A">
                <w:pPr>
                  <w:pStyle w:val="NormalWeb"/>
                  <w:shd w:val="clear" w:color="auto" w:fill="F2F2F2"/>
                  <w:ind w:left="1065"/>
                  <w:rPr>
                    <w:rFonts w:eastAsiaTheme="minorEastAsia"/>
                    <w:b/>
                    <w:bCs/>
                    <w:color w:val="2C2A29"/>
                  </w:rPr>
                </w:pPr>
                <w:bookmarkStart w:id="2" w:name="_Hlk47359281"/>
                <w:r w:rsidRPr="00FE5EFA">
                  <w:rPr>
                    <w:b/>
                    <w:bCs/>
                    <w:color w:val="2C2A29"/>
                  </w:rPr>
                  <w:t xml:space="preserve">Confirming Purchase Order </w:t>
                </w:r>
                <w:r w:rsidR="00FE5EFA" w:rsidRPr="00FE5EFA">
                  <w:rPr>
                    <w:color w:val="2C2A29"/>
                  </w:rPr>
                  <w:t>–</w:t>
                </w:r>
                <w:r w:rsidR="003D44AC" w:rsidRPr="00FE5EFA">
                  <w:t xml:space="preserve"> Purchase </w:t>
                </w:r>
                <w:r w:rsidR="00506CC6" w:rsidRPr="00FE5EFA">
                  <w:t>Order</w:t>
                </w:r>
                <w:r w:rsidR="003D44AC" w:rsidRPr="00FE5EFA">
                  <w:t xml:space="preserve"> submitted after </w:t>
                </w:r>
                <w:r w:rsidR="008356AC" w:rsidRPr="00FE5EFA">
                  <w:t xml:space="preserve">a </w:t>
                </w:r>
                <w:r w:rsidR="003D44AC" w:rsidRPr="00FE5EFA">
                  <w:t>commitment has been made and/or after the commodity and/or contractual services are received and/or performed</w:t>
                </w:r>
                <w:r w:rsidR="008356AC" w:rsidRPr="00FE5EFA">
                  <w:t xml:space="preserve"> in lieu of a signed contract</w:t>
                </w:r>
                <w:r w:rsidR="00C763A2">
                  <w:t xml:space="preserve"> issued prior to such commitment, </w:t>
                </w:r>
                <w:proofErr w:type="gramStart"/>
                <w:r w:rsidR="00C763A2">
                  <w:t>receipt</w:t>
                </w:r>
                <w:proofErr w:type="gramEnd"/>
                <w:r w:rsidR="00C763A2">
                  <w:t xml:space="preserve"> or performance</w:t>
                </w:r>
                <w:r w:rsidR="008356AC" w:rsidRPr="00FE5EFA">
                  <w:t xml:space="preserve"> by someone who has signature authority to commit funds.</w:t>
                </w:r>
                <w:bookmarkEnd w:id="2"/>
              </w:p>
              <w:p w14:paraId="797EFEE7" w14:textId="1AA0F370" w:rsidR="00120F59" w:rsidRPr="00FE5EFA" w:rsidRDefault="00120F59" w:rsidP="00233734">
                <w:pPr>
                  <w:pStyle w:val="NormalWeb"/>
                  <w:shd w:val="clear" w:color="auto" w:fill="F2F2F2"/>
                  <w:ind w:left="1065"/>
                  <w:rPr>
                    <w:i/>
                    <w:color w:val="2C2A29"/>
                  </w:rPr>
                </w:pPr>
                <w:r w:rsidRPr="00FE5EFA">
                  <w:rPr>
                    <w:b/>
                    <w:bCs/>
                    <w:color w:val="2C2A29"/>
                  </w:rPr>
                  <w:t>Direct Support Organization (DSO</w:t>
                </w:r>
                <w:r w:rsidR="008C7F79" w:rsidRPr="00FE5EFA">
                  <w:rPr>
                    <w:b/>
                    <w:bCs/>
                    <w:color w:val="2C2A29"/>
                  </w:rPr>
                  <w:t>)</w:t>
                </w:r>
                <w:r w:rsidR="00FE5EFA">
                  <w:rPr>
                    <w:b/>
                    <w:bCs/>
                    <w:color w:val="2C2A29"/>
                  </w:rPr>
                  <w:t xml:space="preserve"> </w:t>
                </w:r>
                <w:r w:rsidR="00FE5EFA" w:rsidRPr="00FE5EFA">
                  <w:rPr>
                    <w:color w:val="2C2A29"/>
                  </w:rPr>
                  <w:t>–</w:t>
                </w:r>
                <w:r w:rsidRPr="00FE5EFA">
                  <w:rPr>
                    <w:color w:val="2C2A29"/>
                  </w:rPr>
                  <w:t xml:space="preserve"> </w:t>
                </w:r>
                <w:r w:rsidRPr="00FE5EFA">
                  <w:rPr>
                    <w:rStyle w:val="Emphasis"/>
                    <w:i w:val="0"/>
                    <w:iCs w:val="0"/>
                    <w:color w:val="2C2A29"/>
                  </w:rPr>
                  <w:t>An entity</w:t>
                </w:r>
                <w:r w:rsidR="00C763A2">
                  <w:rPr>
                    <w:rStyle w:val="Emphasis"/>
                    <w:i w:val="0"/>
                    <w:iCs w:val="0"/>
                    <w:color w:val="2C2A29"/>
                  </w:rPr>
                  <w:t xml:space="preserve"> </w:t>
                </w:r>
                <w:r w:rsidR="00C763A2" w:rsidRPr="00C763A2">
                  <w:rPr>
                    <w:rStyle w:val="Emphasis"/>
                    <w:i w:val="0"/>
                    <w:iCs w:val="0"/>
                    <w:color w:val="2C2A29"/>
                  </w:rPr>
                  <w:t>approved by the Board of Trustees and</w:t>
                </w:r>
                <w:r w:rsidRPr="00C763A2">
                  <w:rPr>
                    <w:rStyle w:val="Emphasis"/>
                    <w:i w:val="0"/>
                    <w:iCs w:val="0"/>
                    <w:color w:val="2C2A29"/>
                  </w:rPr>
                  <w:t xml:space="preserve"> </w:t>
                </w:r>
                <w:r w:rsidRPr="00FE5EFA">
                  <w:rPr>
                    <w:rStyle w:val="Emphasis"/>
                    <w:i w:val="0"/>
                    <w:iCs w:val="0"/>
                    <w:color w:val="2C2A29"/>
                  </w:rPr>
                  <w:t xml:space="preserve">organized and operated exclusively to receive, hold, </w:t>
                </w:r>
                <w:proofErr w:type="gramStart"/>
                <w:r w:rsidRPr="00FE5EFA">
                  <w:rPr>
                    <w:rStyle w:val="Emphasis"/>
                    <w:i w:val="0"/>
                    <w:iCs w:val="0"/>
                    <w:color w:val="2C2A29"/>
                  </w:rPr>
                  <w:t>invest</w:t>
                </w:r>
                <w:proofErr w:type="gramEnd"/>
                <w:r w:rsidRPr="00FE5EFA">
                  <w:rPr>
                    <w:rStyle w:val="Emphasis"/>
                    <w:i w:val="0"/>
                    <w:iCs w:val="0"/>
                    <w:color w:val="2C2A29"/>
                  </w:rPr>
                  <w:t xml:space="preserve"> and administer property and to make expenditures to or for the benefit of the University.</w:t>
                </w:r>
              </w:p>
              <w:p w14:paraId="0D8C342E" w14:textId="15C751EE" w:rsidR="00C44360" w:rsidRPr="00FE5EFA" w:rsidRDefault="00C44360" w:rsidP="00120F59">
                <w:pPr>
                  <w:shd w:val="clear" w:color="auto" w:fill="F2F2F2"/>
                  <w:spacing w:after="150"/>
                  <w:ind w:left="1065"/>
                  <w:rPr>
                    <w:rFonts w:eastAsia="Times New Roman"/>
                    <w:b/>
                    <w:bCs/>
                    <w:color w:val="2C2A29"/>
                    <w:sz w:val="24"/>
                    <w:szCs w:val="24"/>
                  </w:rPr>
                </w:pPr>
                <w:r w:rsidRPr="00FE5EFA">
                  <w:rPr>
                    <w:rFonts w:eastAsia="Times New Roman"/>
                    <w:b/>
                    <w:bCs/>
                    <w:color w:val="2C2A29"/>
                    <w:sz w:val="24"/>
                    <w:szCs w:val="24"/>
                  </w:rPr>
                  <w:t>Disbursement</w:t>
                </w:r>
                <w:r w:rsidRPr="00FE5EFA">
                  <w:rPr>
                    <w:rFonts w:eastAsia="Times New Roman"/>
                    <w:color w:val="2C2A29"/>
                    <w:sz w:val="24"/>
                    <w:szCs w:val="24"/>
                  </w:rPr>
                  <w:t> </w:t>
                </w:r>
                <w:r w:rsidR="00FE5EFA" w:rsidRPr="00FE5EFA">
                  <w:rPr>
                    <w:rFonts w:eastAsia="Times New Roman"/>
                    <w:color w:val="2C2A29"/>
                    <w:sz w:val="24"/>
                    <w:szCs w:val="24"/>
                  </w:rPr>
                  <w:t xml:space="preserve">– </w:t>
                </w:r>
                <w:r w:rsidRPr="00FE5EFA">
                  <w:rPr>
                    <w:rFonts w:eastAsia="Times New Roman"/>
                    <w:color w:val="2C2A29"/>
                    <w:sz w:val="24"/>
                    <w:szCs w:val="24"/>
                  </w:rPr>
                  <w:t>T</w:t>
                </w:r>
                <w:r w:rsidRPr="00FE5EFA">
                  <w:rPr>
                    <w:rFonts w:eastAsia="Times New Roman"/>
                    <w:sz w:val="24"/>
                    <w:szCs w:val="24"/>
                  </w:rPr>
                  <w:t>he</w:t>
                </w:r>
                <w:r w:rsidRPr="00FE5EFA">
                  <w:rPr>
                    <w:rFonts w:eastAsia="Times New Roman"/>
                    <w:color w:val="2C2A29"/>
                    <w:sz w:val="24"/>
                    <w:szCs w:val="24"/>
                  </w:rPr>
                  <w:t xml:space="preserve"> payment of an expenditure.</w:t>
                </w:r>
              </w:p>
              <w:p w14:paraId="34EACC90" w14:textId="0D55A1DB" w:rsidR="00120F59" w:rsidRPr="00FE5EFA" w:rsidRDefault="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Discount</w:t>
                </w:r>
                <w:r w:rsidRPr="00FE5EFA">
                  <w:rPr>
                    <w:rFonts w:eastAsia="Times New Roman"/>
                    <w:color w:val="2C2A29"/>
                    <w:sz w:val="24"/>
                    <w:szCs w:val="24"/>
                  </w:rPr>
                  <w:t> – An allowance extended by a supplier to encourage payment of an invoice on or before a stated date that is earlier than the due date and which is agreed to by the supplier and the University.</w:t>
                </w:r>
              </w:p>
              <w:p w14:paraId="746A6651" w14:textId="30E424E4" w:rsidR="00C44360" w:rsidRPr="00FE5EFA" w:rsidRDefault="00C44360"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Electronic Payment Request (</w:t>
                </w:r>
                <w:proofErr w:type="spellStart"/>
                <w:r w:rsidRPr="00FE5EFA">
                  <w:rPr>
                    <w:rFonts w:eastAsia="Times New Roman"/>
                    <w:b/>
                    <w:bCs/>
                    <w:color w:val="2C2A29"/>
                    <w:sz w:val="24"/>
                    <w:szCs w:val="24"/>
                  </w:rPr>
                  <w:t>ePRF</w:t>
                </w:r>
                <w:proofErr w:type="spellEnd"/>
                <w:r w:rsidRPr="00FE5EFA">
                  <w:rPr>
                    <w:rFonts w:eastAsia="Times New Roman"/>
                    <w:b/>
                    <w:bCs/>
                    <w:color w:val="2C2A29"/>
                    <w:sz w:val="24"/>
                    <w:szCs w:val="24"/>
                  </w:rPr>
                  <w:t xml:space="preserve">) – </w:t>
                </w:r>
                <w:r w:rsidRPr="00FE5EFA">
                  <w:rPr>
                    <w:rFonts w:eastAsia="Times New Roman"/>
                    <w:color w:val="2C2A29"/>
                    <w:sz w:val="24"/>
                    <w:szCs w:val="24"/>
                  </w:rPr>
                  <w:t>Method to approve and process payments for allowable unencumbered expenditures.</w:t>
                </w:r>
              </w:p>
              <w:p w14:paraId="2EB67566" w14:textId="00FF3E63"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lastRenderedPageBreak/>
                  <w:t>Encumbrance</w:t>
                </w:r>
                <w:r w:rsidRPr="00FE5EFA">
                  <w:rPr>
                    <w:rFonts w:eastAsia="Times New Roman"/>
                    <w:color w:val="2C2A29"/>
                    <w:sz w:val="24"/>
                    <w:szCs w:val="24"/>
                  </w:rPr>
                  <w:t> – A commitment, generally resulting from the issuance of a purchase order</w:t>
                </w:r>
                <w:r w:rsidR="00D562CD" w:rsidRPr="00FE5EFA">
                  <w:rPr>
                    <w:rFonts w:eastAsia="Times New Roman"/>
                    <w:color w:val="2C2A29"/>
                    <w:sz w:val="24"/>
                    <w:szCs w:val="24"/>
                  </w:rPr>
                  <w:t xml:space="preserve"> to </w:t>
                </w:r>
                <w:r w:rsidR="00A977D4" w:rsidRPr="00FE5EFA">
                  <w:rPr>
                    <w:rFonts w:eastAsia="Times New Roman"/>
                    <w:color w:val="2C2A29"/>
                    <w:sz w:val="24"/>
                    <w:szCs w:val="24"/>
                  </w:rPr>
                  <w:t>procure</w:t>
                </w:r>
                <w:r w:rsidR="00D562CD" w:rsidRPr="00FE5EFA">
                  <w:rPr>
                    <w:rFonts w:eastAsia="Times New Roman"/>
                    <w:color w:val="2C2A29"/>
                    <w:sz w:val="24"/>
                    <w:szCs w:val="24"/>
                  </w:rPr>
                  <w:t xml:space="preserve"> goods or services.</w:t>
                </w:r>
                <w:r w:rsidRPr="00FE5EFA">
                  <w:rPr>
                    <w:rFonts w:eastAsia="Times New Roman"/>
                    <w:color w:val="2C2A29"/>
                    <w:sz w:val="24"/>
                    <w:szCs w:val="24"/>
                  </w:rPr>
                  <w:t> </w:t>
                </w:r>
              </w:p>
              <w:p w14:paraId="28C28FAA" w14:textId="30955B2E"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Expenditure</w:t>
                </w:r>
                <w:r w:rsidRPr="00FE5EFA">
                  <w:rPr>
                    <w:rFonts w:eastAsia="Times New Roman"/>
                    <w:color w:val="2C2A29"/>
                    <w:sz w:val="24"/>
                    <w:szCs w:val="24"/>
                  </w:rPr>
                  <w:t> </w:t>
                </w:r>
                <w:r w:rsidR="00FE5EFA" w:rsidRPr="00FE5EFA">
                  <w:rPr>
                    <w:rFonts w:eastAsia="Times New Roman"/>
                    <w:color w:val="2C2A29"/>
                    <w:sz w:val="24"/>
                    <w:szCs w:val="24"/>
                  </w:rPr>
                  <w:t>–</w:t>
                </w:r>
                <w:r w:rsidRPr="00FE5EFA">
                  <w:rPr>
                    <w:rFonts w:eastAsia="Times New Roman"/>
                    <w:color w:val="2C2A29"/>
                    <w:sz w:val="24"/>
                    <w:szCs w:val="24"/>
                  </w:rPr>
                  <w:t xml:space="preserve"> The creation or incurring of a legal obligation to disburse money.</w:t>
                </w:r>
              </w:p>
              <w:p w14:paraId="4B0E3CC8" w14:textId="2D48F3A8"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Invoice </w:t>
                </w:r>
                <w:r w:rsidR="00FE5EFA" w:rsidRPr="00FE5EFA">
                  <w:rPr>
                    <w:rFonts w:eastAsia="Times New Roman"/>
                    <w:color w:val="2C2A29"/>
                    <w:sz w:val="24"/>
                    <w:szCs w:val="24"/>
                  </w:rPr>
                  <w:t>–</w:t>
                </w:r>
                <w:r w:rsidRPr="00FE5EFA">
                  <w:rPr>
                    <w:rFonts w:eastAsia="Times New Roman"/>
                    <w:color w:val="2C2A29"/>
                    <w:sz w:val="24"/>
                    <w:szCs w:val="24"/>
                  </w:rPr>
                  <w:t xml:space="preserve"> A written document delivered to a purchaser showing a description of the goods purchased, the quantity, and the price; and as appropriate, the nature of delivery and other particulars of goods or services sold or services rendered.</w:t>
                </w:r>
              </w:p>
              <w:p w14:paraId="7C3E9E31" w14:textId="50545AEE"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Online Management of Networked Information System (OMNI)</w:t>
                </w:r>
                <w:r w:rsidRPr="00FE5EFA">
                  <w:rPr>
                    <w:rFonts w:eastAsia="Times New Roman"/>
                    <w:color w:val="2C2A29"/>
                    <w:sz w:val="24"/>
                    <w:szCs w:val="24"/>
                  </w:rPr>
                  <w:t> </w:t>
                </w:r>
                <w:r w:rsidR="00FE5EFA" w:rsidRPr="00FE5EFA">
                  <w:rPr>
                    <w:rFonts w:eastAsia="Times New Roman"/>
                    <w:color w:val="2C2A29"/>
                    <w:sz w:val="24"/>
                    <w:szCs w:val="24"/>
                  </w:rPr>
                  <w:t>–</w:t>
                </w:r>
                <w:r w:rsidRPr="00FE5EFA">
                  <w:rPr>
                    <w:rFonts w:eastAsia="Times New Roman"/>
                    <w:color w:val="2C2A29"/>
                    <w:sz w:val="24"/>
                    <w:szCs w:val="24"/>
                  </w:rPr>
                  <w:t xml:space="preserve"> The University’s enterprise resource planning system that is powered by Oracle and is designed to meet the University’s financial and human resource administration needs.</w:t>
                </w:r>
              </w:p>
              <w:p w14:paraId="20AA1A2E" w14:textId="2D8FBE8F"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Principle</w:t>
                </w:r>
                <w:r w:rsidRPr="00FE5EFA">
                  <w:rPr>
                    <w:rFonts w:eastAsia="Times New Roman"/>
                    <w:color w:val="2C2A29"/>
                    <w:sz w:val="24"/>
                    <w:szCs w:val="24"/>
                  </w:rPr>
                  <w:t xml:space="preserve"> </w:t>
                </w:r>
                <w:r w:rsidRPr="00FE5EFA">
                  <w:rPr>
                    <w:rFonts w:eastAsia="Times New Roman"/>
                    <w:b/>
                    <w:bCs/>
                    <w:color w:val="2C2A29"/>
                    <w:sz w:val="24"/>
                    <w:szCs w:val="24"/>
                  </w:rPr>
                  <w:t>Investigator</w:t>
                </w:r>
                <w:r w:rsidR="0011517D" w:rsidRPr="00FE5EFA">
                  <w:rPr>
                    <w:rFonts w:eastAsia="Times New Roman"/>
                    <w:b/>
                    <w:bCs/>
                    <w:color w:val="2C2A29"/>
                    <w:sz w:val="24"/>
                    <w:szCs w:val="24"/>
                  </w:rPr>
                  <w:t xml:space="preserve"> (PI)</w:t>
                </w:r>
                <w:r w:rsidRPr="00FE5EFA">
                  <w:rPr>
                    <w:rFonts w:eastAsia="Times New Roman"/>
                    <w:color w:val="2C2A29"/>
                    <w:sz w:val="24"/>
                    <w:szCs w:val="24"/>
                  </w:rPr>
                  <w:t xml:space="preserve"> </w:t>
                </w:r>
                <w:r w:rsidR="00FE5EFA" w:rsidRPr="00FE5EFA">
                  <w:rPr>
                    <w:rFonts w:eastAsia="Times New Roman"/>
                    <w:color w:val="2C2A29"/>
                    <w:sz w:val="24"/>
                    <w:szCs w:val="24"/>
                  </w:rPr>
                  <w:t>–</w:t>
                </w:r>
                <w:r w:rsidRPr="00FE5EFA">
                  <w:rPr>
                    <w:rFonts w:eastAsia="Times New Roman"/>
                    <w:color w:val="2C2A29"/>
                    <w:sz w:val="24"/>
                    <w:szCs w:val="24"/>
                  </w:rPr>
                  <w:t xml:space="preserve"> The individual responsible for the conduct of research or other activity, described in a proposal for an award. The Principal Investigator is responsible for all programmatic and administrative aspects of a project or program.</w:t>
                </w:r>
              </w:p>
              <w:p w14:paraId="0E72609F" w14:textId="2BA7C1D1" w:rsidR="00D875A0" w:rsidRPr="00FE5EFA" w:rsidRDefault="00D875A0" w:rsidP="00120F59">
                <w:pPr>
                  <w:shd w:val="clear" w:color="auto" w:fill="F2F2F2"/>
                  <w:spacing w:after="150"/>
                  <w:ind w:left="1065"/>
                  <w:rPr>
                    <w:rFonts w:eastAsia="Times New Roman"/>
                    <w:b/>
                    <w:bCs/>
                    <w:color w:val="2C2A29"/>
                    <w:sz w:val="24"/>
                    <w:szCs w:val="24"/>
                  </w:rPr>
                </w:pPr>
                <w:r w:rsidRPr="00FE5EFA">
                  <w:rPr>
                    <w:rFonts w:eastAsia="Times New Roman"/>
                    <w:b/>
                    <w:bCs/>
                    <w:color w:val="2C2A29"/>
                    <w:sz w:val="24"/>
                    <w:szCs w:val="24"/>
                  </w:rPr>
                  <w:t xml:space="preserve">Purchase Order </w:t>
                </w:r>
                <w:r w:rsidR="00316680" w:rsidRPr="00FE5EFA">
                  <w:rPr>
                    <w:rFonts w:eastAsia="Times New Roman"/>
                    <w:b/>
                    <w:bCs/>
                    <w:color w:val="2C2A29"/>
                    <w:sz w:val="24"/>
                    <w:szCs w:val="24"/>
                  </w:rPr>
                  <w:t>–</w:t>
                </w:r>
                <w:r w:rsidR="00E6758A" w:rsidRPr="00FE5EFA">
                  <w:rPr>
                    <w:rFonts w:eastAsia="Times New Roman"/>
                    <w:b/>
                    <w:bCs/>
                    <w:color w:val="2C2A29"/>
                    <w:sz w:val="24"/>
                    <w:szCs w:val="24"/>
                  </w:rPr>
                  <w:t xml:space="preserve"> </w:t>
                </w:r>
                <w:r w:rsidR="008356AC" w:rsidRPr="00FE5EFA">
                  <w:rPr>
                    <w:rFonts w:eastAsia="Times New Roman"/>
                    <w:color w:val="2C2A29"/>
                    <w:sz w:val="24"/>
                    <w:szCs w:val="24"/>
                  </w:rPr>
                  <w:t>The University’s offer to buy goods and services.  When there is not a signed master contract in place, then the purchase order become</w:t>
                </w:r>
                <w:r w:rsidR="00C763A2">
                  <w:rPr>
                    <w:rFonts w:eastAsia="Times New Roman"/>
                    <w:color w:val="2C2A29"/>
                    <w:sz w:val="24"/>
                    <w:szCs w:val="24"/>
                  </w:rPr>
                  <w:t>s</w:t>
                </w:r>
                <w:r w:rsidR="008356AC" w:rsidRPr="00FE5EFA">
                  <w:rPr>
                    <w:rFonts w:eastAsia="Times New Roman"/>
                    <w:color w:val="2C2A29"/>
                    <w:sz w:val="24"/>
                    <w:szCs w:val="24"/>
                  </w:rPr>
                  <w:t xml:space="preserve"> the legally binding contract, with specific terms and conditions between the university and the supplier.  </w:t>
                </w:r>
              </w:p>
              <w:p w14:paraId="38BB0B03" w14:textId="0B928F8A"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 xml:space="preserve">Sponsored </w:t>
                </w:r>
                <w:r w:rsidR="008D717A" w:rsidRPr="00FE5EFA">
                  <w:rPr>
                    <w:rFonts w:eastAsia="Times New Roman"/>
                    <w:b/>
                    <w:bCs/>
                    <w:color w:val="2C2A29"/>
                    <w:sz w:val="24"/>
                    <w:szCs w:val="24"/>
                  </w:rPr>
                  <w:t>Research</w:t>
                </w:r>
                <w:r w:rsidR="00935A36" w:rsidRPr="00FE5EFA">
                  <w:rPr>
                    <w:rFonts w:eastAsia="Times New Roman"/>
                    <w:color w:val="2C2A29"/>
                    <w:sz w:val="24"/>
                    <w:szCs w:val="24"/>
                  </w:rPr>
                  <w:t> </w:t>
                </w:r>
                <w:r w:rsidR="008D717A" w:rsidRPr="00FE5EFA">
                  <w:rPr>
                    <w:rFonts w:eastAsia="Times New Roman"/>
                    <w:color w:val="2C2A29"/>
                    <w:sz w:val="24"/>
                    <w:szCs w:val="24"/>
                  </w:rPr>
                  <w:t>–</w:t>
                </w:r>
                <w:r w:rsidRPr="00FE5EFA">
                  <w:rPr>
                    <w:rFonts w:eastAsia="Times New Roman"/>
                    <w:color w:val="2C2A29"/>
                    <w:sz w:val="24"/>
                    <w:szCs w:val="24"/>
                  </w:rPr>
                  <w:t xml:space="preserve"> </w:t>
                </w:r>
                <w:r w:rsidR="008D717A" w:rsidRPr="00FE5EFA">
                  <w:rPr>
                    <w:rFonts w:eastAsia="Times New Roman"/>
                    <w:color w:val="2C2A29"/>
                    <w:sz w:val="24"/>
                    <w:szCs w:val="24"/>
                  </w:rPr>
                  <w:t xml:space="preserve">Research conducted by </w:t>
                </w:r>
                <w:proofErr w:type="gramStart"/>
                <w:r w:rsidR="008D717A" w:rsidRPr="00FE5EFA">
                  <w:rPr>
                    <w:rFonts w:eastAsia="Times New Roman"/>
                    <w:color w:val="2C2A29"/>
                    <w:sz w:val="24"/>
                    <w:szCs w:val="24"/>
                  </w:rPr>
                  <w:t>University</w:t>
                </w:r>
                <w:proofErr w:type="gramEnd"/>
                <w:r w:rsidR="008D717A" w:rsidRPr="00FE5EFA">
                  <w:rPr>
                    <w:rFonts w:eastAsia="Times New Roman"/>
                    <w:color w:val="2C2A29"/>
                    <w:sz w:val="24"/>
                    <w:szCs w:val="24"/>
                  </w:rPr>
                  <w:t xml:space="preserve"> employees using any University space, facilities, materials, equipment, or property, and which is financ</w:t>
                </w:r>
                <w:r w:rsidR="00030D4B" w:rsidRPr="00FE5EFA">
                  <w:rPr>
                    <w:rFonts w:eastAsia="Times New Roman"/>
                    <w:color w:val="2C2A29"/>
                    <w:sz w:val="24"/>
                    <w:szCs w:val="24"/>
                  </w:rPr>
                  <w:t xml:space="preserve">ed by contract payments, grants, or gifts from any source other than the University’s funds. </w:t>
                </w:r>
              </w:p>
              <w:p w14:paraId="38ECD683" w14:textId="4449E610" w:rsidR="002A3DBC" w:rsidRPr="00FE5EFA" w:rsidRDefault="002A3DBC"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Sponsored Research Administration</w:t>
                </w:r>
                <w:r w:rsidR="001A2359" w:rsidRPr="00FE5EFA">
                  <w:rPr>
                    <w:rFonts w:eastAsia="Times New Roman"/>
                    <w:b/>
                    <w:bCs/>
                    <w:color w:val="2C2A29"/>
                    <w:sz w:val="24"/>
                    <w:szCs w:val="24"/>
                  </w:rPr>
                  <w:t xml:space="preserve"> (SRA)</w:t>
                </w:r>
                <w:r w:rsidRPr="00FE5EFA">
                  <w:rPr>
                    <w:rFonts w:eastAsia="Times New Roman"/>
                    <w:b/>
                    <w:bCs/>
                    <w:color w:val="2C2A29"/>
                    <w:sz w:val="24"/>
                    <w:szCs w:val="24"/>
                  </w:rPr>
                  <w:t xml:space="preserve"> – </w:t>
                </w:r>
                <w:r w:rsidR="00AD0FFF" w:rsidRPr="00FE5EFA">
                  <w:rPr>
                    <w:rFonts w:eastAsia="Times New Roman"/>
                    <w:color w:val="2C2A29"/>
                    <w:sz w:val="24"/>
                    <w:szCs w:val="24"/>
                  </w:rPr>
                  <w:t xml:space="preserve">A unit under the purview of the Vice </w:t>
                </w:r>
                <w:r w:rsidR="00193BAB" w:rsidRPr="00FE5EFA">
                  <w:rPr>
                    <w:rFonts w:eastAsia="Times New Roman"/>
                    <w:color w:val="2C2A29"/>
                    <w:sz w:val="24"/>
                    <w:szCs w:val="24"/>
                  </w:rPr>
                  <w:t>President</w:t>
                </w:r>
                <w:r w:rsidR="00AD0FFF" w:rsidRPr="00FE5EFA">
                  <w:rPr>
                    <w:rFonts w:eastAsia="Times New Roman"/>
                    <w:color w:val="2C2A29"/>
                    <w:sz w:val="24"/>
                    <w:szCs w:val="24"/>
                  </w:rPr>
                  <w:t xml:space="preserve"> fo</w:t>
                </w:r>
                <w:r w:rsidR="00733B2E" w:rsidRPr="00FE5EFA">
                  <w:rPr>
                    <w:rFonts w:eastAsia="Times New Roman"/>
                    <w:color w:val="2C2A29"/>
                    <w:sz w:val="24"/>
                    <w:szCs w:val="24"/>
                  </w:rPr>
                  <w:t xml:space="preserve">r Research, is responsible for </w:t>
                </w:r>
                <w:r w:rsidRPr="00FE5EFA">
                  <w:rPr>
                    <w:rFonts w:eastAsia="Times New Roman"/>
                    <w:color w:val="2C2A29"/>
                    <w:sz w:val="24"/>
                    <w:szCs w:val="24"/>
                  </w:rPr>
                  <w:t>the pre-and post-award functions of the university for awards with</w:t>
                </w:r>
                <w:r w:rsidR="004974EE" w:rsidRPr="00FE5EFA">
                  <w:rPr>
                    <w:rFonts w:eastAsia="Times New Roman"/>
                    <w:color w:val="2C2A29"/>
                    <w:sz w:val="24"/>
                    <w:szCs w:val="24"/>
                  </w:rPr>
                  <w:t xml:space="preserve"> U.S.</w:t>
                </w:r>
                <w:r w:rsidRPr="00FE5EFA">
                  <w:rPr>
                    <w:rFonts w:eastAsia="Times New Roman"/>
                    <w:color w:val="2C2A29"/>
                    <w:sz w:val="24"/>
                    <w:szCs w:val="24"/>
                  </w:rPr>
                  <w:t xml:space="preserve"> public funding (federal, state and local </w:t>
                </w:r>
                <w:proofErr w:type="gramStart"/>
                <w:r w:rsidRPr="00FE5EFA">
                  <w:rPr>
                    <w:rFonts w:eastAsia="Times New Roman"/>
                    <w:color w:val="2C2A29"/>
                    <w:sz w:val="24"/>
                    <w:szCs w:val="24"/>
                  </w:rPr>
                  <w:t>governments )</w:t>
                </w:r>
                <w:proofErr w:type="gramEnd"/>
                <w:r w:rsidRPr="00FE5EFA">
                  <w:rPr>
                    <w:rFonts w:eastAsia="Times New Roman"/>
                    <w:color w:val="2C2A29"/>
                    <w:sz w:val="24"/>
                    <w:szCs w:val="24"/>
                  </w:rPr>
                  <w:t xml:space="preserve"> and public funding that is flowed through private organizations.</w:t>
                </w:r>
              </w:p>
              <w:p w14:paraId="7AA243AF" w14:textId="34B28B66" w:rsidR="00120F59" w:rsidRPr="00FE5EFA" w:rsidRDefault="00120F59" w:rsidP="00120F59">
                <w:pPr>
                  <w:shd w:val="clear" w:color="auto" w:fill="F2F2F2"/>
                  <w:spacing w:after="150"/>
                  <w:ind w:left="1065"/>
                  <w:rPr>
                    <w:rFonts w:eastAsia="Times New Roman"/>
                    <w:color w:val="2C2A29"/>
                    <w:sz w:val="24"/>
                    <w:szCs w:val="24"/>
                  </w:rPr>
                </w:pPr>
                <w:bookmarkStart w:id="3" w:name="_Hlk47955331"/>
                <w:r w:rsidRPr="00FE5EFA">
                  <w:rPr>
                    <w:rFonts w:eastAsia="Times New Roman"/>
                    <w:b/>
                    <w:bCs/>
                    <w:color w:val="2C2A29"/>
                    <w:sz w:val="24"/>
                    <w:szCs w:val="24"/>
                  </w:rPr>
                  <w:t>SRAD (Sponsored Research and Development Trust Fund)</w:t>
                </w:r>
                <w:r w:rsidRPr="00FE5EFA">
                  <w:rPr>
                    <w:color w:val="333333"/>
                    <w:sz w:val="24"/>
                    <w:szCs w:val="24"/>
                    <w:lang w:val="en"/>
                  </w:rPr>
                  <w:t xml:space="preserve"> </w:t>
                </w:r>
                <w:r w:rsidR="00FE5EFA" w:rsidRPr="00FE5EFA">
                  <w:rPr>
                    <w:rFonts w:eastAsia="Times New Roman"/>
                    <w:color w:val="2C2A29"/>
                    <w:sz w:val="24"/>
                    <w:szCs w:val="24"/>
                  </w:rPr>
                  <w:t>–</w:t>
                </w:r>
                <w:r w:rsidRPr="00FE5EFA">
                  <w:rPr>
                    <w:color w:val="333333"/>
                    <w:sz w:val="24"/>
                    <w:szCs w:val="24"/>
                    <w:lang w:val="en"/>
                  </w:rPr>
                  <w:t xml:space="preserve"> </w:t>
                </w:r>
                <w:r w:rsidR="00D562CD" w:rsidRPr="00FE5EFA">
                  <w:rPr>
                    <w:rFonts w:eastAsia="Times New Roman"/>
                    <w:color w:val="2C2A29"/>
                    <w:sz w:val="24"/>
                    <w:szCs w:val="24"/>
                  </w:rPr>
                  <w:t>F</w:t>
                </w:r>
                <w:r w:rsidRPr="00FE5EFA">
                  <w:rPr>
                    <w:rFonts w:eastAsia="Times New Roman"/>
                    <w:color w:val="2C2A29"/>
                    <w:sz w:val="24"/>
                    <w:szCs w:val="24"/>
                  </w:rPr>
                  <w:t xml:space="preserve">unds received for earned overhead (indirect costs) and distributed to </w:t>
                </w:r>
                <w:proofErr w:type="gramStart"/>
                <w:r w:rsidRPr="00FE5EFA">
                  <w:rPr>
                    <w:rFonts w:eastAsia="Times New Roman"/>
                    <w:color w:val="2C2A29"/>
                    <w:sz w:val="24"/>
                    <w:szCs w:val="24"/>
                  </w:rPr>
                  <w:t>University</w:t>
                </w:r>
                <w:proofErr w:type="gramEnd"/>
                <w:r w:rsidRPr="00FE5EFA">
                  <w:rPr>
                    <w:rFonts w:eastAsia="Times New Roman"/>
                    <w:color w:val="2C2A29"/>
                    <w:sz w:val="24"/>
                    <w:szCs w:val="24"/>
                  </w:rPr>
                  <w:t xml:space="preserve"> schools/colleges, departments or institutes to support the research activity of the University. </w:t>
                </w:r>
              </w:p>
              <w:bookmarkEnd w:id="3"/>
              <w:p w14:paraId="3E0B895C" w14:textId="07F99797" w:rsidR="00120F59" w:rsidRPr="00FE5EFA" w:rsidRDefault="00120F59" w:rsidP="00120F59">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University Purchasing Card</w:t>
                </w:r>
                <w:r w:rsidRPr="00FE5EFA">
                  <w:rPr>
                    <w:rFonts w:eastAsia="Times New Roman"/>
                    <w:color w:val="2C2A29"/>
                    <w:sz w:val="24"/>
                    <w:szCs w:val="24"/>
                  </w:rPr>
                  <w:t> </w:t>
                </w:r>
                <w:r w:rsidR="00FE5EFA" w:rsidRPr="00FE5EFA">
                  <w:rPr>
                    <w:rFonts w:eastAsia="Times New Roman"/>
                    <w:color w:val="2C2A29"/>
                    <w:sz w:val="24"/>
                    <w:szCs w:val="24"/>
                  </w:rPr>
                  <w:t>–</w:t>
                </w:r>
                <w:r w:rsidRPr="00FE5EFA">
                  <w:rPr>
                    <w:rFonts w:eastAsia="Times New Roman"/>
                    <w:color w:val="2C2A29"/>
                    <w:sz w:val="24"/>
                    <w:szCs w:val="24"/>
                  </w:rPr>
                  <w:t xml:space="preserve"> </w:t>
                </w:r>
                <w:r w:rsidR="00D562CD" w:rsidRPr="00FE5EFA">
                  <w:rPr>
                    <w:rFonts w:eastAsia="Times New Roman"/>
                    <w:color w:val="2C2A29"/>
                    <w:sz w:val="24"/>
                    <w:szCs w:val="24"/>
                  </w:rPr>
                  <w:t>T</w:t>
                </w:r>
                <w:r w:rsidR="00D562CD" w:rsidRPr="00FE5EFA">
                  <w:rPr>
                    <w:rFonts w:eastAsia="Times New Roman"/>
                    <w:sz w:val="24"/>
                    <w:szCs w:val="24"/>
                  </w:rPr>
                  <w:t>he</w:t>
                </w:r>
                <w:r w:rsidRPr="00FE5EFA">
                  <w:rPr>
                    <w:rFonts w:eastAsia="Times New Roman"/>
                    <w:color w:val="2C2A29"/>
                    <w:sz w:val="24"/>
                    <w:szCs w:val="24"/>
                  </w:rPr>
                  <w:t xml:space="preserve"> purchasing card issued</w:t>
                </w:r>
                <w:r w:rsidR="00D562CD" w:rsidRPr="00FE5EFA">
                  <w:rPr>
                    <w:rFonts w:eastAsia="Times New Roman"/>
                    <w:color w:val="2C2A29"/>
                    <w:sz w:val="24"/>
                    <w:szCs w:val="24"/>
                  </w:rPr>
                  <w:t xml:space="preserve"> </w:t>
                </w:r>
                <w:r w:rsidR="00D562CD" w:rsidRPr="00FE5EFA">
                  <w:rPr>
                    <w:rFonts w:eastAsia="Times New Roman"/>
                    <w:sz w:val="24"/>
                    <w:szCs w:val="24"/>
                  </w:rPr>
                  <w:t>to</w:t>
                </w:r>
                <w:r w:rsidRPr="00FE5EFA">
                  <w:rPr>
                    <w:rFonts w:eastAsia="Times New Roman"/>
                    <w:color w:val="2C2A29"/>
                    <w:sz w:val="24"/>
                    <w:szCs w:val="24"/>
                  </w:rPr>
                  <w:t xml:space="preserve"> an individual pursuant to the University's Purchasing Card Program. </w:t>
                </w:r>
              </w:p>
              <w:p w14:paraId="792AC1CA" w14:textId="28B21A61" w:rsidR="00B6798D" w:rsidRPr="00F70E67" w:rsidRDefault="00120F59" w:rsidP="00F70E67">
                <w:pPr>
                  <w:shd w:val="clear" w:color="auto" w:fill="F2F2F2"/>
                  <w:spacing w:after="150"/>
                  <w:ind w:left="1065"/>
                  <w:rPr>
                    <w:rFonts w:eastAsia="Times New Roman"/>
                    <w:color w:val="2C2A29"/>
                    <w:sz w:val="24"/>
                    <w:szCs w:val="24"/>
                  </w:rPr>
                </w:pPr>
                <w:r w:rsidRPr="00FE5EFA">
                  <w:rPr>
                    <w:rFonts w:eastAsia="Times New Roman"/>
                    <w:b/>
                    <w:bCs/>
                    <w:color w:val="2C2A29"/>
                    <w:sz w:val="24"/>
                    <w:szCs w:val="24"/>
                  </w:rPr>
                  <w:t>Voucher</w:t>
                </w:r>
                <w:r w:rsidRPr="00FE5EFA">
                  <w:rPr>
                    <w:rFonts w:eastAsia="Times New Roman"/>
                    <w:color w:val="2C2A29"/>
                    <w:sz w:val="24"/>
                    <w:szCs w:val="24"/>
                  </w:rPr>
                  <w:t> </w:t>
                </w:r>
                <w:r w:rsidR="00FE5EFA" w:rsidRPr="00FE5EFA">
                  <w:rPr>
                    <w:rFonts w:eastAsia="Times New Roman"/>
                    <w:color w:val="2C2A29"/>
                    <w:sz w:val="24"/>
                    <w:szCs w:val="24"/>
                  </w:rPr>
                  <w:t>–</w:t>
                </w:r>
                <w:r w:rsidRPr="00FE5EFA">
                  <w:rPr>
                    <w:rFonts w:eastAsia="Times New Roman"/>
                    <w:color w:val="2C2A29"/>
                    <w:sz w:val="24"/>
                    <w:szCs w:val="24"/>
                  </w:rPr>
                  <w:t xml:space="preserve"> An electronic payment authorization</w:t>
                </w:r>
                <w:r w:rsidR="000A6ACB" w:rsidRPr="00FE5EFA">
                  <w:rPr>
                    <w:rFonts w:eastAsia="Times New Roman"/>
                    <w:color w:val="2C2A29"/>
                    <w:sz w:val="24"/>
                    <w:szCs w:val="24"/>
                  </w:rPr>
                  <w:t>,</w:t>
                </w:r>
                <w:r w:rsidRPr="00FE5EFA">
                  <w:rPr>
                    <w:rFonts w:eastAsia="Times New Roman"/>
                    <w:color w:val="2C2A29"/>
                    <w:sz w:val="24"/>
                    <w:szCs w:val="24"/>
                  </w:rPr>
                  <w:t xml:space="preserve"> complete with the invoice and such other supporting documentation necessary to authenticate the recording of a transaction into the accounting records.</w:t>
                </w:r>
              </w:p>
            </w:tc>
          </w:sdtContent>
        </w:sdt>
      </w:tr>
      <w:tr w:rsidR="00B6798D" w14:paraId="3A86FB53" w14:textId="77777777" w:rsidTr="001B60D8">
        <w:trPr>
          <w:trHeight w:val="432"/>
        </w:trPr>
        <w:tc>
          <w:tcPr>
            <w:tcW w:w="485" w:type="dxa"/>
            <w:vAlign w:val="center"/>
          </w:tcPr>
          <w:p w14:paraId="1439D382" w14:textId="77777777" w:rsidR="00B6798D" w:rsidRDefault="00B6798D" w:rsidP="00C911D9"/>
        </w:tc>
        <w:tc>
          <w:tcPr>
            <w:tcW w:w="9019" w:type="dxa"/>
            <w:gridSpan w:val="6"/>
            <w:vAlign w:val="center"/>
          </w:tcPr>
          <w:p w14:paraId="0973CCDD" w14:textId="77777777" w:rsidR="00B6798D" w:rsidRPr="00FE5EFA" w:rsidRDefault="00B6798D" w:rsidP="00C911D9">
            <w:pPr>
              <w:rPr>
                <w:sz w:val="24"/>
                <w:szCs w:val="24"/>
              </w:rPr>
            </w:pPr>
          </w:p>
        </w:tc>
      </w:tr>
      <w:tr w:rsidR="00B6798D" w14:paraId="553DED1C" w14:textId="77777777" w:rsidTr="00A9711A">
        <w:trPr>
          <w:trHeight w:val="144"/>
        </w:trPr>
        <w:tc>
          <w:tcPr>
            <w:tcW w:w="485" w:type="dxa"/>
            <w:vAlign w:val="center"/>
          </w:tcPr>
          <w:p w14:paraId="67646C1A" w14:textId="77777777" w:rsidR="00B6798D" w:rsidRPr="001B60D8" w:rsidRDefault="001B60D8" w:rsidP="001B60D8">
            <w:pPr>
              <w:pStyle w:val="PolicyTitle"/>
            </w:pPr>
            <w:r w:rsidRPr="001B60D8">
              <w:t>II.</w:t>
            </w:r>
          </w:p>
        </w:tc>
        <w:tc>
          <w:tcPr>
            <w:tcW w:w="9019" w:type="dxa"/>
            <w:gridSpan w:val="6"/>
            <w:vAlign w:val="center"/>
          </w:tcPr>
          <w:p w14:paraId="12941031" w14:textId="77777777" w:rsidR="00B6798D" w:rsidRPr="00FE5EFA" w:rsidRDefault="00B6798D" w:rsidP="005821B1">
            <w:pPr>
              <w:pStyle w:val="PolicyTitle"/>
              <w:rPr>
                <w:szCs w:val="24"/>
              </w:rPr>
            </w:pPr>
            <w:r w:rsidRPr="00FE5EFA">
              <w:rPr>
                <w:szCs w:val="24"/>
              </w:rPr>
              <w:t>POLICY</w:t>
            </w:r>
            <w:r w:rsidR="00AE3E5F" w:rsidRPr="00FE5EFA">
              <w:rPr>
                <w:szCs w:val="24"/>
              </w:rPr>
              <w:t xml:space="preserve"> (</w:t>
            </w:r>
            <w:r w:rsidR="005821B1" w:rsidRPr="00FE5EFA">
              <w:rPr>
                <w:caps w:val="0"/>
                <w:szCs w:val="24"/>
              </w:rPr>
              <w:t>Including any Forms and Attachments</w:t>
            </w:r>
            <w:r w:rsidR="00AE3E5F" w:rsidRPr="00FE5EFA">
              <w:rPr>
                <w:szCs w:val="24"/>
              </w:rPr>
              <w:t>)</w:t>
            </w:r>
          </w:p>
        </w:tc>
      </w:tr>
      <w:tr w:rsidR="00B6798D" w14:paraId="74298C3E" w14:textId="77777777" w:rsidTr="001B60D8">
        <w:trPr>
          <w:trHeight w:val="432"/>
        </w:trPr>
        <w:tc>
          <w:tcPr>
            <w:tcW w:w="485" w:type="dxa"/>
            <w:vAlign w:val="center"/>
          </w:tcPr>
          <w:p w14:paraId="43BE25AF" w14:textId="77777777" w:rsidR="00B6798D" w:rsidRDefault="00B6798D" w:rsidP="00C911D9"/>
        </w:tc>
        <w:sdt>
          <w:sdtPr>
            <w:rPr>
              <w:sz w:val="24"/>
              <w:szCs w:val="24"/>
            </w:rPr>
            <w:alias w:val="Policy"/>
            <w:tag w:val="Policy"/>
            <w:id w:val="-77218106"/>
            <w:placeholder>
              <w:docPart w:val="14D37F4395BC45B488B532B08DC347D0"/>
            </w:placeholder>
          </w:sdtPr>
          <w:sdtEndPr/>
          <w:sdtContent>
            <w:bookmarkStart w:id="4" w:name="PromptPay" w:displacedByCustomXml="prev"/>
            <w:tc>
              <w:tcPr>
                <w:tcW w:w="9019" w:type="dxa"/>
                <w:gridSpan w:val="6"/>
                <w:vAlign w:val="center"/>
              </w:tcPr>
              <w:p w14:paraId="033E232C" w14:textId="09EF8429" w:rsidR="009C4522" w:rsidRPr="00FE5EFA" w:rsidRDefault="009C4522" w:rsidP="00B5560D">
                <w:pPr>
                  <w:pStyle w:val="ListParagraph"/>
                  <w:numPr>
                    <w:ilvl w:val="0"/>
                    <w:numId w:val="5"/>
                  </w:numPr>
                  <w:shd w:val="clear" w:color="auto" w:fill="F2F2F2"/>
                  <w:spacing w:after="150"/>
                  <w:ind w:left="1065"/>
                  <w:rPr>
                    <w:rFonts w:eastAsia="Times New Roman"/>
                    <w:color w:val="2C2A29"/>
                    <w:sz w:val="24"/>
                    <w:szCs w:val="24"/>
                  </w:rPr>
                </w:pPr>
                <w:r w:rsidRPr="00FE5EFA">
                  <w:rPr>
                    <w:rFonts w:eastAsia="Times New Roman"/>
                    <w:b/>
                    <w:bCs/>
                    <w:color w:val="000000" w:themeColor="text1"/>
                    <w:sz w:val="24"/>
                    <w:szCs w:val="24"/>
                  </w:rPr>
                  <w:t>UNIVERSITY PROMPT PAYMENT POLICY</w:t>
                </w:r>
                <w:bookmarkEnd w:id="4"/>
              </w:p>
              <w:p w14:paraId="01D802D7" w14:textId="292387F6"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color w:val="2C2A29"/>
                    <w:sz w:val="24"/>
                    <w:szCs w:val="24"/>
                  </w:rPr>
                  <w:t xml:space="preserve">All payments made by the University are subject to </w:t>
                </w:r>
                <w:proofErr w:type="gramStart"/>
                <w:r w:rsidRPr="00FE5EFA">
                  <w:rPr>
                    <w:rFonts w:eastAsia="Times New Roman"/>
                    <w:color w:val="2C2A29"/>
                    <w:sz w:val="24"/>
                    <w:szCs w:val="24"/>
                  </w:rPr>
                  <w:t>University</w:t>
                </w:r>
                <w:proofErr w:type="gramEnd"/>
                <w:r w:rsidRPr="00FE5EFA">
                  <w:rPr>
                    <w:rFonts w:eastAsia="Times New Roman"/>
                    <w:color w:val="2C2A29"/>
                    <w:sz w:val="24"/>
                    <w:szCs w:val="24"/>
                  </w:rPr>
                  <w:t xml:space="preserve"> </w:t>
                </w:r>
                <w:r w:rsidR="004B66BA" w:rsidRPr="00FE5EFA">
                  <w:rPr>
                    <w:rFonts w:eastAsia="Times New Roman"/>
                    <w:color w:val="2C2A29"/>
                    <w:sz w:val="24"/>
                    <w:szCs w:val="24"/>
                  </w:rPr>
                  <w:t>p</w:t>
                </w:r>
                <w:r w:rsidRPr="00FE5EFA">
                  <w:rPr>
                    <w:rFonts w:eastAsia="Times New Roman"/>
                    <w:color w:val="2C2A29"/>
                    <w:sz w:val="24"/>
                    <w:szCs w:val="24"/>
                  </w:rPr>
                  <w:t xml:space="preserve">olicy and </w:t>
                </w:r>
                <w:r w:rsidR="004B66BA" w:rsidRPr="00FE5EFA">
                  <w:rPr>
                    <w:rFonts w:eastAsia="Times New Roman"/>
                    <w:color w:val="2C2A29"/>
                    <w:sz w:val="24"/>
                    <w:szCs w:val="24"/>
                  </w:rPr>
                  <w:t>r</w:t>
                </w:r>
                <w:r w:rsidRPr="00FE5EFA">
                  <w:rPr>
                    <w:rFonts w:eastAsia="Times New Roman"/>
                    <w:color w:val="2C2A29"/>
                    <w:sz w:val="24"/>
                    <w:szCs w:val="24"/>
                  </w:rPr>
                  <w:t xml:space="preserve">ules as approved by the University's Board of Trustees. </w:t>
                </w:r>
                <w:r w:rsidR="004F44AC">
                  <w:rPr>
                    <w:rFonts w:eastAsia="Times New Roman"/>
                    <w:color w:val="2C2A29"/>
                    <w:sz w:val="24"/>
                    <w:szCs w:val="24"/>
                  </w:rPr>
                  <w:t>It is the policy of the University that properly accepted invoices shall be paid no later than forty (40) days after receipt of the invoice. “Properly accepted” means receipt, inspection, and approval of the goods or services. An exception is provided in the case of a bona fide dispute, in which case the voucher shall contain a statement of the dispute and authorize payment only in the amount not disputed.</w:t>
                </w:r>
              </w:p>
              <w:p w14:paraId="56F199E5" w14:textId="54EF7535" w:rsidR="009C4522" w:rsidRPr="00FE5EFA" w:rsidRDefault="006A4305" w:rsidP="006D3AEE">
                <w:pPr>
                  <w:shd w:val="clear" w:color="auto" w:fill="F2F2F2"/>
                  <w:spacing w:after="150"/>
                  <w:ind w:left="1425"/>
                  <w:rPr>
                    <w:rFonts w:eastAsia="Times New Roman"/>
                    <w:color w:val="2C2A29"/>
                    <w:sz w:val="24"/>
                    <w:szCs w:val="24"/>
                  </w:rPr>
                </w:pPr>
                <w:r w:rsidRPr="00FE5EFA">
                  <w:rPr>
                    <w:rFonts w:eastAsia="Times New Roman"/>
                    <w:color w:val="2C2A29"/>
                    <w:sz w:val="24"/>
                    <w:szCs w:val="24"/>
                  </w:rPr>
                  <w:t>1</w:t>
                </w:r>
                <w:r w:rsidR="009C4522" w:rsidRPr="00FE5EFA">
                  <w:rPr>
                    <w:rFonts w:eastAsia="Times New Roman"/>
                    <w:color w:val="2C2A29"/>
                    <w:sz w:val="24"/>
                    <w:szCs w:val="24"/>
                  </w:rPr>
                  <w:t>. The 40-day payment requirement may be waived in whole or in part by the University Controller on a showing of exceptional circumstances in accordance with rules of the University. For the purposes of determining the receipt of invoice date, the department is deemed to receive an invoice on the date on which a proper invoice is first received at the location designated by the University.</w:t>
                </w:r>
              </w:p>
              <w:p w14:paraId="0DA9C1FA" w14:textId="5CBAFFE0" w:rsidR="009C4522" w:rsidRPr="00FE5EFA" w:rsidRDefault="006A4305" w:rsidP="006D3AEE">
                <w:pPr>
                  <w:shd w:val="clear" w:color="auto" w:fill="F2F2F2"/>
                  <w:spacing w:after="150"/>
                  <w:ind w:left="1425"/>
                  <w:rPr>
                    <w:rFonts w:eastAsia="Times New Roman"/>
                    <w:color w:val="2C2A29"/>
                    <w:sz w:val="24"/>
                    <w:szCs w:val="24"/>
                  </w:rPr>
                </w:pPr>
                <w:r w:rsidRPr="00FE5EFA">
                  <w:rPr>
                    <w:rFonts w:eastAsia="Times New Roman"/>
                    <w:color w:val="2C2A29"/>
                    <w:sz w:val="24"/>
                    <w:szCs w:val="24"/>
                  </w:rPr>
                  <w:t>2</w:t>
                </w:r>
                <w:r w:rsidR="009C4522" w:rsidRPr="00FE5EFA">
                  <w:rPr>
                    <w:rFonts w:eastAsia="Times New Roman"/>
                    <w:color w:val="2C2A29"/>
                    <w:sz w:val="24"/>
                    <w:szCs w:val="24"/>
                  </w:rPr>
                  <w:t xml:space="preserve">. The University is deemed to have received an invoice on the date of the invoice if the department has failed to annotate the invoice with the date of receipt at the time the department </w:t>
                </w:r>
                <w:proofErr w:type="gramStart"/>
                <w:r w:rsidR="009C4522" w:rsidRPr="00FE5EFA">
                  <w:rPr>
                    <w:rFonts w:eastAsia="Times New Roman"/>
                    <w:color w:val="2C2A29"/>
                    <w:sz w:val="24"/>
                    <w:szCs w:val="24"/>
                  </w:rPr>
                  <w:t>actually received</w:t>
                </w:r>
                <w:proofErr w:type="gramEnd"/>
                <w:r w:rsidR="009C4522" w:rsidRPr="00FE5EFA">
                  <w:rPr>
                    <w:rFonts w:eastAsia="Times New Roman"/>
                    <w:color w:val="2C2A29"/>
                    <w:sz w:val="24"/>
                    <w:szCs w:val="24"/>
                  </w:rPr>
                  <w:t xml:space="preserve"> the invoice</w:t>
                </w:r>
                <w:r w:rsidR="008812CB" w:rsidRPr="00FE5EFA">
                  <w:rPr>
                    <w:rFonts w:eastAsia="Times New Roman"/>
                    <w:color w:val="2C2A29"/>
                    <w:sz w:val="24"/>
                    <w:szCs w:val="24"/>
                  </w:rPr>
                  <w:t>,</w:t>
                </w:r>
                <w:r w:rsidR="009C4522" w:rsidRPr="00FE5EFA">
                  <w:rPr>
                    <w:rFonts w:eastAsia="Times New Roman"/>
                    <w:color w:val="2C2A29"/>
                    <w:sz w:val="24"/>
                    <w:szCs w:val="24"/>
                  </w:rPr>
                  <w:t xml:space="preserve"> or </w:t>
                </w:r>
                <w:r w:rsidR="008812CB" w:rsidRPr="00FE5EFA">
                  <w:rPr>
                    <w:rFonts w:eastAsia="Times New Roman"/>
                    <w:color w:val="2C2A29"/>
                    <w:sz w:val="24"/>
                    <w:szCs w:val="24"/>
                  </w:rPr>
                  <w:t xml:space="preserve">the department </w:t>
                </w:r>
                <w:r w:rsidR="009C4522" w:rsidRPr="00FE5EFA">
                  <w:rPr>
                    <w:rFonts w:eastAsia="Times New Roman"/>
                    <w:color w:val="2C2A29"/>
                    <w:sz w:val="24"/>
                    <w:szCs w:val="24"/>
                  </w:rPr>
                  <w:t>failed</w:t>
                </w:r>
                <w:r w:rsidR="008812CB" w:rsidRPr="00FE5EFA">
                  <w:rPr>
                    <w:rFonts w:eastAsia="Times New Roman"/>
                    <w:color w:val="2C2A29"/>
                    <w:sz w:val="24"/>
                    <w:szCs w:val="24"/>
                  </w:rPr>
                  <w:t>,</w:t>
                </w:r>
                <w:r w:rsidR="009C4522" w:rsidRPr="00FE5EFA">
                  <w:rPr>
                    <w:rFonts w:eastAsia="Times New Roman"/>
                    <w:color w:val="2C2A29"/>
                    <w:sz w:val="24"/>
                    <w:szCs w:val="24"/>
                  </w:rPr>
                  <w:t xml:space="preserve"> at the time the order is placed or</w:t>
                </w:r>
                <w:r w:rsidR="008812CB" w:rsidRPr="00FE5EFA">
                  <w:rPr>
                    <w:rFonts w:eastAsia="Times New Roman"/>
                    <w:color w:val="2C2A29"/>
                    <w:sz w:val="24"/>
                    <w:szCs w:val="24"/>
                  </w:rPr>
                  <w:t xml:space="preserve"> the</w:t>
                </w:r>
                <w:r w:rsidR="009C4522" w:rsidRPr="00FE5EFA">
                  <w:rPr>
                    <w:rFonts w:eastAsia="Times New Roman"/>
                    <w:color w:val="2C2A29"/>
                    <w:sz w:val="24"/>
                    <w:szCs w:val="24"/>
                  </w:rPr>
                  <w:t xml:space="preserve"> contract </w:t>
                </w:r>
                <w:r w:rsidR="008812CB" w:rsidRPr="00FE5EFA">
                  <w:rPr>
                    <w:rFonts w:eastAsia="Times New Roman"/>
                    <w:color w:val="2C2A29"/>
                    <w:sz w:val="24"/>
                    <w:szCs w:val="24"/>
                  </w:rPr>
                  <w:t>was entered into with the</w:t>
                </w:r>
                <w:r w:rsidR="00BD4213" w:rsidRPr="00FE5EFA">
                  <w:rPr>
                    <w:rFonts w:eastAsia="Times New Roman"/>
                    <w:color w:val="2C2A29"/>
                    <w:sz w:val="24"/>
                    <w:szCs w:val="24"/>
                  </w:rPr>
                  <w:t xml:space="preserve"> supplier</w:t>
                </w:r>
                <w:r w:rsidR="008812CB" w:rsidRPr="00FE5EFA">
                  <w:rPr>
                    <w:rFonts w:eastAsia="Times New Roman"/>
                    <w:color w:val="2C2A29"/>
                    <w:sz w:val="24"/>
                    <w:szCs w:val="24"/>
                  </w:rPr>
                  <w:t xml:space="preserve">, </w:t>
                </w:r>
                <w:r w:rsidR="009C4522" w:rsidRPr="00FE5EFA">
                  <w:rPr>
                    <w:rFonts w:eastAsia="Times New Roman"/>
                    <w:color w:val="2C2A29"/>
                    <w:sz w:val="24"/>
                    <w:szCs w:val="24"/>
                  </w:rPr>
                  <w:t xml:space="preserve">to designate a specific location to which the invoice </w:t>
                </w:r>
                <w:r w:rsidR="008812CB" w:rsidRPr="00FE5EFA">
                  <w:rPr>
                    <w:rFonts w:eastAsia="Times New Roman"/>
                    <w:color w:val="2C2A29"/>
                    <w:sz w:val="24"/>
                    <w:szCs w:val="24"/>
                  </w:rPr>
                  <w:t xml:space="preserve">was to </w:t>
                </w:r>
                <w:r w:rsidR="009C4522" w:rsidRPr="00FE5EFA">
                  <w:rPr>
                    <w:rFonts w:eastAsia="Times New Roman"/>
                    <w:color w:val="2C2A29"/>
                    <w:sz w:val="24"/>
                    <w:szCs w:val="24"/>
                  </w:rPr>
                  <w:t>be delivered.</w:t>
                </w:r>
              </w:p>
              <w:p w14:paraId="44835336" w14:textId="1645C083" w:rsidR="009C4522" w:rsidRPr="00FE5EFA" w:rsidRDefault="006A4305" w:rsidP="006D3AEE">
                <w:pPr>
                  <w:shd w:val="clear" w:color="auto" w:fill="F2F2F2"/>
                  <w:spacing w:after="150"/>
                  <w:ind w:left="1425"/>
                  <w:rPr>
                    <w:rFonts w:eastAsia="Times New Roman"/>
                    <w:color w:val="2C2A29"/>
                    <w:sz w:val="24"/>
                    <w:szCs w:val="24"/>
                  </w:rPr>
                </w:pPr>
                <w:r w:rsidRPr="00FE5EFA">
                  <w:rPr>
                    <w:rFonts w:eastAsia="Times New Roman"/>
                    <w:color w:val="2C2A29"/>
                    <w:sz w:val="24"/>
                    <w:szCs w:val="24"/>
                  </w:rPr>
                  <w:t>3</w:t>
                </w:r>
                <w:r w:rsidR="009C4522" w:rsidRPr="00FE5EFA">
                  <w:rPr>
                    <w:rFonts w:eastAsia="Times New Roman"/>
                    <w:color w:val="2C2A29"/>
                    <w:sz w:val="24"/>
                    <w:szCs w:val="24"/>
                  </w:rPr>
                  <w:t>. The University may make partial payments to a contractor upon partial delivery of goods or services or upon partial completion of construction when a request for such partial payment is made by the contractor and approved by the Controller.</w:t>
                </w:r>
              </w:p>
              <w:p w14:paraId="1C7AD054" w14:textId="5FBE060B" w:rsidR="009C4522" w:rsidRPr="00FE5EFA" w:rsidRDefault="006A4305">
                <w:pPr>
                  <w:shd w:val="clear" w:color="auto" w:fill="F2F2F2"/>
                  <w:spacing w:after="150"/>
                  <w:ind w:left="1425"/>
                  <w:rPr>
                    <w:rFonts w:eastAsia="Times New Roman"/>
                    <w:color w:val="2C2A29"/>
                    <w:sz w:val="24"/>
                    <w:szCs w:val="24"/>
                  </w:rPr>
                </w:pPr>
                <w:r w:rsidRPr="00FE5EFA">
                  <w:rPr>
                    <w:rFonts w:eastAsia="Times New Roman"/>
                    <w:color w:val="2C2A29"/>
                    <w:sz w:val="24"/>
                    <w:szCs w:val="24"/>
                  </w:rPr>
                  <w:t>4</w:t>
                </w:r>
                <w:r w:rsidR="009C4522" w:rsidRPr="00FE5EFA">
                  <w:rPr>
                    <w:rFonts w:eastAsia="Times New Roman"/>
                    <w:color w:val="2C2A29"/>
                    <w:sz w:val="24"/>
                    <w:szCs w:val="24"/>
                  </w:rPr>
                  <w:t xml:space="preserve">. If the terms of the invoice provide a discount </w:t>
                </w:r>
                <w:r w:rsidR="00D3778B" w:rsidRPr="00FE5EFA">
                  <w:rPr>
                    <w:rFonts w:eastAsia="Times New Roman"/>
                    <w:color w:val="2C2A29"/>
                    <w:sz w:val="24"/>
                    <w:szCs w:val="24"/>
                  </w:rPr>
                  <w:t>when</w:t>
                </w:r>
                <w:r w:rsidR="009C4522" w:rsidRPr="00FE5EFA">
                  <w:rPr>
                    <w:rFonts w:eastAsia="Times New Roman"/>
                    <w:color w:val="2C2A29"/>
                    <w:sz w:val="24"/>
                    <w:szCs w:val="24"/>
                  </w:rPr>
                  <w:t xml:space="preserve"> payment </w:t>
                </w:r>
                <w:r w:rsidR="00D3778B" w:rsidRPr="00FE5EFA">
                  <w:rPr>
                    <w:rFonts w:eastAsia="Times New Roman"/>
                    <w:color w:val="2C2A29"/>
                    <w:sz w:val="24"/>
                    <w:szCs w:val="24"/>
                  </w:rPr>
                  <w:t xml:space="preserve">is made by the University within a specified number of days, </w:t>
                </w:r>
                <w:r w:rsidR="009C4522" w:rsidRPr="00FE5EFA">
                  <w:rPr>
                    <w:rFonts w:eastAsia="Times New Roman"/>
                    <w:color w:val="2C2A29"/>
                    <w:sz w:val="24"/>
                    <w:szCs w:val="24"/>
                  </w:rPr>
                  <w:t>the University shall preferentially process it and use all diligence to obtain the saving</w:t>
                </w:r>
                <w:r w:rsidR="007A7EC9" w:rsidRPr="00FE5EFA">
                  <w:rPr>
                    <w:rFonts w:eastAsia="Times New Roman"/>
                    <w:color w:val="2C2A29"/>
                    <w:sz w:val="24"/>
                    <w:szCs w:val="24"/>
                  </w:rPr>
                  <w:t>s</w:t>
                </w:r>
                <w:r w:rsidR="009C4522" w:rsidRPr="00FE5EFA">
                  <w:rPr>
                    <w:rFonts w:eastAsia="Times New Roman"/>
                    <w:color w:val="2C2A29"/>
                    <w:sz w:val="24"/>
                    <w:szCs w:val="24"/>
                  </w:rPr>
                  <w:t xml:space="preserve"> by compl</w:t>
                </w:r>
                <w:r w:rsidR="007A7EC9" w:rsidRPr="00FE5EFA">
                  <w:rPr>
                    <w:rFonts w:eastAsia="Times New Roman"/>
                    <w:color w:val="2C2A29"/>
                    <w:sz w:val="24"/>
                    <w:szCs w:val="24"/>
                  </w:rPr>
                  <w:t>ying</w:t>
                </w:r>
                <w:r w:rsidR="009C4522" w:rsidRPr="00FE5EFA">
                  <w:rPr>
                    <w:rFonts w:eastAsia="Times New Roman"/>
                    <w:color w:val="2C2A29"/>
                    <w:sz w:val="24"/>
                    <w:szCs w:val="24"/>
                  </w:rPr>
                  <w:t xml:space="preserve"> with </w:t>
                </w:r>
                <w:r w:rsidR="007A7EC9" w:rsidRPr="00FE5EFA">
                  <w:rPr>
                    <w:rFonts w:eastAsia="Times New Roman"/>
                    <w:color w:val="2C2A29"/>
                    <w:sz w:val="24"/>
                    <w:szCs w:val="24"/>
                  </w:rPr>
                  <w:t>such payment</w:t>
                </w:r>
                <w:r w:rsidR="009C4522" w:rsidRPr="00FE5EFA">
                  <w:rPr>
                    <w:rFonts w:eastAsia="Times New Roman"/>
                    <w:color w:val="2C2A29"/>
                    <w:sz w:val="24"/>
                    <w:szCs w:val="24"/>
                  </w:rPr>
                  <w:t xml:space="preserve"> terms.</w:t>
                </w:r>
              </w:p>
              <w:p w14:paraId="2E96DB6B" w14:textId="401B341E" w:rsidR="009C4522" w:rsidRPr="00FE5EFA" w:rsidRDefault="00DF2291" w:rsidP="006D3AEE">
                <w:pPr>
                  <w:shd w:val="clear" w:color="auto" w:fill="F2F2F2"/>
                  <w:spacing w:after="150"/>
                  <w:ind w:left="1425"/>
                  <w:rPr>
                    <w:rFonts w:eastAsia="Times New Roman"/>
                    <w:color w:val="2C2A29"/>
                    <w:sz w:val="24"/>
                    <w:szCs w:val="24"/>
                  </w:rPr>
                </w:pPr>
                <w:r w:rsidRPr="00FE5EFA">
                  <w:rPr>
                    <w:rFonts w:eastAsia="Times New Roman"/>
                    <w:color w:val="2C2A29"/>
                    <w:sz w:val="24"/>
                    <w:szCs w:val="24"/>
                  </w:rPr>
                  <w:t>5</w:t>
                </w:r>
                <w:r w:rsidR="009C4522" w:rsidRPr="00FE5EFA">
                  <w:rPr>
                    <w:rFonts w:eastAsia="Times New Roman"/>
                    <w:color w:val="2C2A29"/>
                    <w:sz w:val="24"/>
                    <w:szCs w:val="24"/>
                  </w:rPr>
                  <w:t xml:space="preserve">. The </w:t>
                </w:r>
                <w:r w:rsidR="00485840" w:rsidRPr="00FE5EFA">
                  <w:rPr>
                    <w:rFonts w:eastAsia="Times New Roman"/>
                    <w:color w:val="2C2A29"/>
                    <w:sz w:val="24"/>
                    <w:szCs w:val="24"/>
                  </w:rPr>
                  <w:t>Controller</w:t>
                </w:r>
                <w:r w:rsidR="009C4522" w:rsidRPr="00FE5EFA">
                  <w:rPr>
                    <w:rFonts w:eastAsia="Times New Roman"/>
                    <w:color w:val="2C2A29"/>
                    <w:sz w:val="24"/>
                    <w:szCs w:val="24"/>
                  </w:rPr>
                  <w:t xml:space="preserve"> </w:t>
                </w:r>
                <w:r w:rsidR="006D79CB" w:rsidRPr="00FE5EFA">
                  <w:rPr>
                    <w:rFonts w:eastAsia="Times New Roman"/>
                    <w:color w:val="2C2A29"/>
                    <w:sz w:val="24"/>
                    <w:szCs w:val="24"/>
                  </w:rPr>
                  <w:t xml:space="preserve">may </w:t>
                </w:r>
                <w:r w:rsidR="009C4522" w:rsidRPr="00FE5EFA">
                  <w:rPr>
                    <w:rFonts w:eastAsia="Times New Roman"/>
                    <w:color w:val="2C2A29"/>
                    <w:sz w:val="24"/>
                    <w:szCs w:val="24"/>
                  </w:rPr>
                  <w:t xml:space="preserve">authorize advance payments for goods and services, including, but not limited to, maintenance agreements and subscriptions when it is in the best interest of the University to make payments in </w:t>
                </w:r>
                <w:proofErr w:type="gramStart"/>
                <w:r w:rsidR="009C4522" w:rsidRPr="00FE5EFA">
                  <w:rPr>
                    <w:rFonts w:eastAsia="Times New Roman"/>
                    <w:color w:val="2C2A29"/>
                    <w:sz w:val="24"/>
                    <w:szCs w:val="24"/>
                  </w:rPr>
                  <w:t>advance</w:t>
                </w:r>
                <w:proofErr w:type="gramEnd"/>
                <w:r w:rsidR="009C4522" w:rsidRPr="00FE5EFA">
                  <w:rPr>
                    <w:rFonts w:eastAsia="Times New Roman"/>
                    <w:color w:val="2C2A29"/>
                    <w:sz w:val="24"/>
                    <w:szCs w:val="24"/>
                  </w:rPr>
                  <w:t xml:space="preserve"> and it has been determined there is adequate protection to ensure that such goods or services will be provided.</w:t>
                </w:r>
              </w:p>
              <w:p w14:paraId="12F2173B" w14:textId="3598795F" w:rsidR="009C4522" w:rsidRPr="00FE5EFA" w:rsidRDefault="00DF2291">
                <w:pPr>
                  <w:shd w:val="clear" w:color="auto" w:fill="F2F2F2"/>
                  <w:spacing w:after="150"/>
                  <w:ind w:left="1425"/>
                  <w:rPr>
                    <w:rFonts w:eastAsia="Times New Roman"/>
                    <w:color w:val="2C2A29"/>
                    <w:sz w:val="24"/>
                    <w:szCs w:val="24"/>
                  </w:rPr>
                </w:pPr>
                <w:r w:rsidRPr="00FE5EFA">
                  <w:rPr>
                    <w:rFonts w:eastAsia="Times New Roman"/>
                    <w:color w:val="2C2A29"/>
                    <w:sz w:val="24"/>
                    <w:szCs w:val="24"/>
                  </w:rPr>
                  <w:t>6</w:t>
                </w:r>
                <w:r w:rsidR="009C4522" w:rsidRPr="00FE5EFA">
                  <w:rPr>
                    <w:rFonts w:eastAsia="Times New Roman"/>
                    <w:color w:val="2C2A29"/>
                    <w:sz w:val="24"/>
                    <w:szCs w:val="24"/>
                  </w:rPr>
                  <w:t>. Payments not made on a timely basis are subject to an interest penalty payment at a rate established annually by the Chief Financial Officer of the State of Florida as prescribed in </w:t>
                </w:r>
                <w:hyperlink r:id="rId11" w:tgtFrame="_blank" w:history="1">
                  <w:r w:rsidR="009C4522" w:rsidRPr="00FE5EFA">
                    <w:rPr>
                      <w:rFonts w:eastAsia="Times New Roman"/>
                      <w:color w:val="000000" w:themeColor="text1"/>
                      <w:sz w:val="24"/>
                      <w:szCs w:val="24"/>
                    </w:rPr>
                    <w:t>Section 55.03(1)</w:t>
                  </w:r>
                </w:hyperlink>
                <w:r w:rsidR="009C4522" w:rsidRPr="00FE5EFA">
                  <w:rPr>
                    <w:rFonts w:eastAsia="Times New Roman"/>
                    <w:color w:val="000000" w:themeColor="text1"/>
                    <w:sz w:val="24"/>
                    <w:szCs w:val="24"/>
                  </w:rPr>
                  <w:t xml:space="preserve">, </w:t>
                </w:r>
                <w:r w:rsidR="009C4522" w:rsidRPr="00FE5EFA">
                  <w:rPr>
                    <w:rFonts w:eastAsia="Times New Roman"/>
                    <w:color w:val="2C2A29"/>
                    <w:sz w:val="24"/>
                    <w:szCs w:val="24"/>
                  </w:rPr>
                  <w:t xml:space="preserve">Florida Statutes. </w:t>
                </w:r>
                <w:r w:rsidR="00513A8B" w:rsidRPr="00FE5EFA">
                  <w:rPr>
                    <w:rFonts w:eastAsia="Times New Roman"/>
                    <w:color w:val="2C2A29"/>
                    <w:sz w:val="24"/>
                    <w:szCs w:val="24"/>
                  </w:rPr>
                  <w:t xml:space="preserve">The interest </w:t>
                </w:r>
                <w:r w:rsidR="009C4522" w:rsidRPr="00FE5EFA">
                  <w:rPr>
                    <w:rFonts w:eastAsia="Times New Roman"/>
                    <w:color w:val="2C2A29"/>
                    <w:sz w:val="24"/>
                    <w:szCs w:val="24"/>
                  </w:rPr>
                  <w:t xml:space="preserve">will be </w:t>
                </w:r>
                <w:r w:rsidR="00513A8B" w:rsidRPr="00FE5EFA">
                  <w:rPr>
                    <w:rFonts w:eastAsia="Times New Roman"/>
                    <w:color w:val="2C2A29"/>
                    <w:sz w:val="24"/>
                    <w:szCs w:val="24"/>
                  </w:rPr>
                  <w:t xml:space="preserve">calculated </w:t>
                </w:r>
                <w:r w:rsidR="009C4522" w:rsidRPr="00FE5EFA">
                  <w:rPr>
                    <w:rFonts w:eastAsia="Times New Roman"/>
                    <w:color w:val="2C2A29"/>
                    <w:sz w:val="24"/>
                    <w:szCs w:val="24"/>
                  </w:rPr>
                  <w:t xml:space="preserve">on the unpaid balance from the expiration of such </w:t>
                </w:r>
                <w:r w:rsidR="009C4522" w:rsidRPr="00FE5EFA">
                  <w:rPr>
                    <w:rFonts w:eastAsia="Times New Roman"/>
                    <w:color w:val="2C2A29"/>
                    <w:sz w:val="24"/>
                    <w:szCs w:val="24"/>
                  </w:rPr>
                  <w:lastRenderedPageBreak/>
                  <w:t>40-day period until such time as the payment is issued to the supplier. Such interest shall be added to the invoice at the time of submission to the Controller for payment whenever possible.</w:t>
                </w:r>
              </w:p>
              <w:p w14:paraId="506A2024" w14:textId="63F407E1" w:rsidR="00DF2291" w:rsidRPr="00FE5EFA" w:rsidRDefault="00DF2291" w:rsidP="00DC3DCE">
                <w:pPr>
                  <w:shd w:val="clear" w:color="auto" w:fill="F2F2F2"/>
                  <w:spacing w:after="150"/>
                  <w:ind w:left="1425"/>
                  <w:rPr>
                    <w:rFonts w:eastAsia="Times New Roman"/>
                    <w:color w:val="2C2A29"/>
                    <w:sz w:val="24"/>
                    <w:szCs w:val="24"/>
                  </w:rPr>
                </w:pPr>
                <w:r w:rsidRPr="00FE5EFA">
                  <w:rPr>
                    <w:rFonts w:eastAsia="Times New Roman"/>
                    <w:color w:val="2C2A29"/>
                    <w:sz w:val="24"/>
                    <w:szCs w:val="24"/>
                  </w:rPr>
                  <w:t>7</w:t>
                </w:r>
                <w:r w:rsidR="009C4522" w:rsidRPr="00FE5EFA">
                  <w:rPr>
                    <w:rFonts w:eastAsia="Times New Roman"/>
                    <w:color w:val="2C2A29"/>
                    <w:sz w:val="24"/>
                    <w:szCs w:val="24"/>
                  </w:rPr>
                  <w:t>. Invoices received from suppliers which have failed to supply the University with a complete and accurate W-9</w:t>
                </w:r>
                <w:r w:rsidR="00947438" w:rsidRPr="00FE5EFA">
                  <w:rPr>
                    <w:rFonts w:eastAsia="Times New Roman"/>
                    <w:color w:val="2C2A29"/>
                    <w:sz w:val="24"/>
                    <w:szCs w:val="24"/>
                  </w:rPr>
                  <w:t>,</w:t>
                </w:r>
                <w:r w:rsidR="009C4522" w:rsidRPr="00FE5EFA">
                  <w:rPr>
                    <w:rFonts w:eastAsia="Times New Roman"/>
                    <w:color w:val="2C2A29"/>
                    <w:sz w:val="24"/>
                    <w:szCs w:val="24"/>
                  </w:rPr>
                  <w:t xml:space="preserve"> or other form that provides all necessary data to determine 1099 status</w:t>
                </w:r>
                <w:r w:rsidR="00947438" w:rsidRPr="00FE5EFA">
                  <w:rPr>
                    <w:rFonts w:eastAsia="Times New Roman"/>
                    <w:color w:val="2C2A29"/>
                    <w:sz w:val="24"/>
                    <w:szCs w:val="24"/>
                  </w:rPr>
                  <w:t>,</w:t>
                </w:r>
                <w:r w:rsidR="009C4522" w:rsidRPr="00FE5EFA">
                  <w:rPr>
                    <w:rFonts w:eastAsia="Times New Roman"/>
                    <w:color w:val="2C2A29"/>
                    <w:sz w:val="24"/>
                    <w:szCs w:val="24"/>
                  </w:rPr>
                  <w:t xml:space="preserve"> will be deemed insufficient for payment until such information is obtained.</w:t>
                </w:r>
              </w:p>
              <w:p w14:paraId="71A047A7" w14:textId="15E75288" w:rsidR="00DF2291" w:rsidRPr="00FE5EFA" w:rsidRDefault="00DF2291" w:rsidP="00DF2291">
                <w:pPr>
                  <w:shd w:val="clear" w:color="auto" w:fill="F2F2F2"/>
                  <w:spacing w:after="150"/>
                  <w:ind w:left="1425"/>
                  <w:rPr>
                    <w:rFonts w:eastAsia="Times New Roman"/>
                    <w:color w:val="2C2A29"/>
                    <w:sz w:val="24"/>
                    <w:szCs w:val="24"/>
                  </w:rPr>
                </w:pPr>
                <w:r w:rsidRPr="00FE5EFA">
                  <w:rPr>
                    <w:rFonts w:eastAsia="Times New Roman"/>
                    <w:color w:val="2C2A29"/>
                    <w:sz w:val="24"/>
                    <w:szCs w:val="24"/>
                  </w:rPr>
                  <w:t xml:space="preserve">8. </w:t>
                </w:r>
                <w:r w:rsidR="0051311D" w:rsidRPr="00FE5EFA">
                  <w:rPr>
                    <w:rFonts w:eastAsia="Times New Roman"/>
                    <w:color w:val="2C2A29"/>
                    <w:sz w:val="24"/>
                    <w:szCs w:val="24"/>
                  </w:rPr>
                  <w:t>R</w:t>
                </w:r>
                <w:r w:rsidRPr="00FE5EFA">
                  <w:rPr>
                    <w:rFonts w:eastAsia="Times New Roman"/>
                    <w:color w:val="2C2A29"/>
                    <w:sz w:val="24"/>
                    <w:szCs w:val="24"/>
                  </w:rPr>
                  <w:t xml:space="preserve">eimbursements to University officers and employees must be paid in the same timeframes as payments to suppliers under this section. </w:t>
                </w:r>
              </w:p>
              <w:p w14:paraId="20E7A48C" w14:textId="528B884F" w:rsidR="00DF2291" w:rsidRPr="00FE5EFA" w:rsidRDefault="00DF2291" w:rsidP="00DF2291">
                <w:pPr>
                  <w:shd w:val="clear" w:color="auto" w:fill="F2F2F2"/>
                  <w:spacing w:after="150"/>
                  <w:ind w:left="1425"/>
                  <w:rPr>
                    <w:rFonts w:eastAsia="Times New Roman"/>
                    <w:color w:val="2C2A29"/>
                    <w:sz w:val="24"/>
                    <w:szCs w:val="24"/>
                  </w:rPr>
                </w:pPr>
                <w:r w:rsidRPr="00FE5EFA">
                  <w:rPr>
                    <w:rFonts w:eastAsia="Times New Roman"/>
                    <w:color w:val="2C2A29"/>
                    <w:sz w:val="24"/>
                    <w:szCs w:val="24"/>
                  </w:rPr>
                  <w:t>9. This section does not apply to payments made to State agencies or other governmental entities within the State of Florida.</w:t>
                </w:r>
              </w:p>
              <w:p w14:paraId="4F554486" w14:textId="39D99419" w:rsidR="009C4522" w:rsidRPr="00FE5EFA" w:rsidRDefault="009C4522" w:rsidP="00B5560D">
                <w:pPr>
                  <w:pStyle w:val="ListParagraph"/>
                  <w:numPr>
                    <w:ilvl w:val="0"/>
                    <w:numId w:val="5"/>
                  </w:numPr>
                  <w:shd w:val="clear" w:color="auto" w:fill="F2F2F2"/>
                  <w:spacing w:after="150"/>
                  <w:ind w:left="1065"/>
                  <w:rPr>
                    <w:rFonts w:eastAsia="Times New Roman"/>
                    <w:color w:val="2C2A29"/>
                    <w:sz w:val="24"/>
                    <w:szCs w:val="24"/>
                  </w:rPr>
                </w:pPr>
                <w:bookmarkStart w:id="5" w:name="PurchContractGrant"/>
                <w:bookmarkStart w:id="6" w:name="_Hlk47955356"/>
                <w:r w:rsidRPr="00FE5EFA">
                  <w:rPr>
                    <w:rFonts w:eastAsia="Times New Roman"/>
                    <w:b/>
                    <w:bCs/>
                    <w:color w:val="000000" w:themeColor="text1"/>
                    <w:sz w:val="24"/>
                    <w:szCs w:val="24"/>
                  </w:rPr>
                  <w:t xml:space="preserve">PURCHASES FROM </w:t>
                </w:r>
                <w:r w:rsidR="00B67660">
                  <w:rPr>
                    <w:rFonts w:eastAsia="Times New Roman"/>
                    <w:b/>
                    <w:bCs/>
                    <w:color w:val="000000" w:themeColor="text1"/>
                    <w:sz w:val="24"/>
                    <w:szCs w:val="24"/>
                  </w:rPr>
                  <w:t>SPONSORED RESEARCH ADMINISTRATION</w:t>
                </w:r>
                <w:r w:rsidRPr="00FE5EFA">
                  <w:rPr>
                    <w:rFonts w:eastAsia="Times New Roman"/>
                    <w:b/>
                    <w:bCs/>
                    <w:color w:val="000000" w:themeColor="text1"/>
                    <w:sz w:val="24"/>
                    <w:szCs w:val="24"/>
                  </w:rPr>
                  <w:t xml:space="preserve"> FUNDED BUDGETS</w:t>
                </w:r>
                <w:bookmarkEnd w:id="5"/>
              </w:p>
              <w:p w14:paraId="4C3E773A" w14:textId="5A802F19" w:rsidR="00EE33F6" w:rsidRPr="00FE5EFA" w:rsidRDefault="009C4522" w:rsidP="00EE33F6">
                <w:pPr>
                  <w:shd w:val="clear" w:color="auto" w:fill="F2F2F2"/>
                  <w:spacing w:after="150"/>
                  <w:ind w:left="1065"/>
                  <w:rPr>
                    <w:rFonts w:eastAsia="Times New Roman"/>
                    <w:sz w:val="24"/>
                    <w:szCs w:val="24"/>
                  </w:rPr>
                </w:pPr>
                <w:r w:rsidRPr="00FE5EFA">
                  <w:rPr>
                    <w:rFonts w:eastAsia="Times New Roman"/>
                    <w:color w:val="2C2A29"/>
                    <w:sz w:val="24"/>
                    <w:szCs w:val="24"/>
                  </w:rPr>
                  <w:t>Sponsored Research Administration (SRA) must approve all purchases greater than $1,000 on a</w:t>
                </w:r>
                <w:r w:rsidR="00DF2291" w:rsidRPr="00FE5EFA">
                  <w:rPr>
                    <w:rFonts w:eastAsia="Times New Roman"/>
                    <w:color w:val="2C2A29"/>
                    <w:sz w:val="24"/>
                    <w:szCs w:val="24"/>
                  </w:rPr>
                  <w:t>n</w:t>
                </w:r>
                <w:r w:rsidRPr="00FE5EFA">
                  <w:rPr>
                    <w:rFonts w:eastAsia="Times New Roman"/>
                    <w:color w:val="2C2A29"/>
                    <w:sz w:val="24"/>
                    <w:szCs w:val="24"/>
                  </w:rPr>
                  <w:t xml:space="preserve"> SRA managed project prior to submission for payment, except for projects using SRAD/PI support or Research Control and Operating Projects</w:t>
                </w:r>
                <w:r w:rsidR="00DF2291" w:rsidRPr="00FE5EFA">
                  <w:rPr>
                    <w:rFonts w:eastAsia="Times New Roman"/>
                    <w:color w:val="2C2A29"/>
                    <w:sz w:val="24"/>
                    <w:szCs w:val="24"/>
                  </w:rPr>
                  <w:t>.</w:t>
                </w:r>
                <w:r w:rsidRPr="00FE5EFA">
                  <w:rPr>
                    <w:rFonts w:eastAsia="Times New Roman"/>
                    <w:color w:val="2C2A29"/>
                    <w:sz w:val="24"/>
                    <w:szCs w:val="24"/>
                  </w:rPr>
                  <w:t xml:space="preserve"> Only purchases greater than $10,000 on SRAD/PI Support or Research Control and Operating Projects require SRA approval.  </w:t>
                </w:r>
                <w:bookmarkEnd w:id="6"/>
                <w:r w:rsidR="006A4305" w:rsidRPr="00FE5EFA">
                  <w:rPr>
                    <w:rFonts w:eastAsia="Times New Roman"/>
                    <w:sz w:val="24"/>
                    <w:szCs w:val="24"/>
                  </w:rPr>
                  <w:t xml:space="preserve"> </w:t>
                </w:r>
              </w:p>
              <w:p w14:paraId="554C1A90" w14:textId="49D7EFB9" w:rsidR="009C4522" w:rsidRPr="00FE5EFA" w:rsidRDefault="009C4522" w:rsidP="000A6ACB">
                <w:pPr>
                  <w:pStyle w:val="ListParagraph"/>
                  <w:numPr>
                    <w:ilvl w:val="0"/>
                    <w:numId w:val="5"/>
                  </w:numPr>
                  <w:shd w:val="clear" w:color="auto" w:fill="F2F2F2"/>
                  <w:spacing w:after="150"/>
                  <w:ind w:left="1066"/>
                  <w:rPr>
                    <w:rFonts w:eastAsia="Times New Roman"/>
                    <w:sz w:val="24"/>
                    <w:szCs w:val="24"/>
                  </w:rPr>
                </w:pPr>
                <w:r w:rsidRPr="00FE5EFA">
                  <w:rPr>
                    <w:rFonts w:eastAsia="Times New Roman"/>
                    <w:b/>
                    <w:bCs/>
                    <w:color w:val="000000" w:themeColor="text1"/>
                    <w:sz w:val="24"/>
                    <w:szCs w:val="24"/>
                  </w:rPr>
                  <w:t>PURCHASES FROM DIRECT SUPPORT ORGANIZATION BUDGETS</w:t>
                </w:r>
              </w:p>
              <w:p w14:paraId="63A3DBBB" w14:textId="4719E03E" w:rsidR="009C4522" w:rsidRPr="00FE5EFA" w:rsidRDefault="009C4522" w:rsidP="000A6ACB">
                <w:pPr>
                  <w:shd w:val="clear" w:color="auto" w:fill="F2F2F2"/>
                  <w:spacing w:after="150"/>
                  <w:ind w:left="1065"/>
                  <w:rPr>
                    <w:rFonts w:eastAsia="Times New Roman"/>
                    <w:color w:val="2C2A29"/>
                    <w:sz w:val="24"/>
                    <w:szCs w:val="24"/>
                  </w:rPr>
                </w:pPr>
                <w:r w:rsidRPr="00FE5EFA">
                  <w:rPr>
                    <w:rFonts w:eastAsia="Times New Roman"/>
                    <w:color w:val="2C2A29"/>
                    <w:sz w:val="24"/>
                    <w:szCs w:val="24"/>
                  </w:rPr>
                  <w:t>Any purchases made from a Direct Support Organization</w:t>
                </w:r>
                <w:r w:rsidR="00DF2291" w:rsidRPr="00FE5EFA">
                  <w:rPr>
                    <w:rFonts w:eastAsia="Times New Roman"/>
                    <w:color w:val="2C2A29"/>
                    <w:sz w:val="24"/>
                    <w:szCs w:val="24"/>
                  </w:rPr>
                  <w:t xml:space="preserve"> (DSO)</w:t>
                </w:r>
                <w:r w:rsidRPr="00FE5EFA">
                  <w:rPr>
                    <w:rFonts w:eastAsia="Times New Roman"/>
                    <w:color w:val="2C2A29"/>
                    <w:sz w:val="24"/>
                    <w:szCs w:val="24"/>
                  </w:rPr>
                  <w:t xml:space="preserve"> budget must follow the approval and expenditure guidelines of the applicable DSO.  </w:t>
                </w:r>
                <w:proofErr w:type="gramStart"/>
                <w:r w:rsidRPr="00FE5EFA">
                  <w:rPr>
                    <w:rFonts w:eastAsia="Times New Roman"/>
                    <w:color w:val="2C2A29"/>
                    <w:sz w:val="24"/>
                    <w:szCs w:val="24"/>
                  </w:rPr>
                  <w:t>In the event that</w:t>
                </w:r>
                <w:proofErr w:type="gramEnd"/>
                <w:r w:rsidRPr="00FE5EFA">
                  <w:rPr>
                    <w:rFonts w:eastAsia="Times New Roman"/>
                    <w:color w:val="2C2A29"/>
                    <w:sz w:val="24"/>
                    <w:szCs w:val="24"/>
                  </w:rPr>
                  <w:t xml:space="preserve"> the expenditure is divided between the University and the DSO the expenditure guidelines of both organizations must be followed.  </w:t>
                </w:r>
              </w:p>
              <w:p w14:paraId="20317179" w14:textId="46BC735B" w:rsidR="009C4522" w:rsidRPr="00FE5EFA" w:rsidRDefault="009C4522" w:rsidP="00B5560D">
                <w:pPr>
                  <w:pStyle w:val="ListParagraph"/>
                  <w:numPr>
                    <w:ilvl w:val="0"/>
                    <w:numId w:val="5"/>
                  </w:numPr>
                  <w:shd w:val="clear" w:color="auto" w:fill="F2F2F2"/>
                  <w:spacing w:after="150"/>
                  <w:ind w:left="1065"/>
                  <w:rPr>
                    <w:rFonts w:eastAsia="Times New Roman"/>
                    <w:color w:val="2C2A29"/>
                    <w:sz w:val="24"/>
                    <w:szCs w:val="24"/>
                  </w:rPr>
                </w:pPr>
                <w:bookmarkStart w:id="7" w:name="OutsideVendors"/>
                <w:r w:rsidRPr="00FE5EFA">
                  <w:rPr>
                    <w:rFonts w:eastAsia="Times New Roman"/>
                    <w:b/>
                    <w:bCs/>
                    <w:color w:val="000000" w:themeColor="text1"/>
                    <w:sz w:val="24"/>
                    <w:szCs w:val="24"/>
                  </w:rPr>
                  <w:t>PAYMENTS TO OUTSIDE SUPPLIERS</w:t>
                </w:r>
                <w:bookmarkEnd w:id="7"/>
              </w:p>
              <w:p w14:paraId="210D9867" w14:textId="38467DFA" w:rsidR="009C4522" w:rsidRPr="00FE5EFA" w:rsidRDefault="009C4522" w:rsidP="000A6ACB">
                <w:pPr>
                  <w:shd w:val="clear" w:color="auto" w:fill="F2F2F2"/>
                  <w:spacing w:after="150"/>
                  <w:ind w:left="1065"/>
                  <w:rPr>
                    <w:sz w:val="24"/>
                    <w:szCs w:val="24"/>
                  </w:rPr>
                </w:pPr>
                <w:bookmarkStart w:id="8" w:name="1.05"/>
                <w:bookmarkEnd w:id="8"/>
                <w:r w:rsidRPr="00FE5EFA">
                  <w:rPr>
                    <w:rFonts w:eastAsia="Times New Roman"/>
                    <w:color w:val="2C2A29"/>
                    <w:sz w:val="24"/>
                    <w:szCs w:val="24"/>
                  </w:rPr>
                  <w:t>In general, it is the policy of the University that all purchases are made through Procurement Services. The use of Procurement Services ensures that the purchase has received the appropriate review for compliance with all pertinent State laws, regulations</w:t>
                </w:r>
                <w:r w:rsidR="00DF2291" w:rsidRPr="00FE5EFA">
                  <w:rPr>
                    <w:rFonts w:eastAsia="Times New Roman"/>
                    <w:color w:val="2C2A29"/>
                    <w:sz w:val="24"/>
                    <w:szCs w:val="24"/>
                  </w:rPr>
                  <w:t>,</w:t>
                </w:r>
                <w:r w:rsidRPr="00FE5EFA">
                  <w:rPr>
                    <w:rFonts w:eastAsia="Times New Roman"/>
                    <w:color w:val="2C2A29"/>
                    <w:sz w:val="24"/>
                    <w:szCs w:val="24"/>
                  </w:rPr>
                  <w:t xml:space="preserve"> and University policies</w:t>
                </w:r>
                <w:r w:rsidR="006F3FE8" w:rsidRPr="00FE5EFA">
                  <w:rPr>
                    <w:rFonts w:eastAsia="Times New Roman"/>
                    <w:sz w:val="24"/>
                    <w:szCs w:val="24"/>
                  </w:rPr>
                  <w:t>.</w:t>
                </w:r>
              </w:p>
              <w:p w14:paraId="75EA6D7A" w14:textId="7A48172E" w:rsidR="006F3FE8" w:rsidRPr="00FE5EFA" w:rsidRDefault="006F3FE8" w:rsidP="002E6C97">
                <w:pPr>
                  <w:shd w:val="clear" w:color="auto" w:fill="F2F2F2"/>
                  <w:spacing w:after="150"/>
                  <w:ind w:left="1335"/>
                  <w:rPr>
                    <w:rFonts w:eastAsia="Times New Roman"/>
                    <w:color w:val="2C2A29"/>
                    <w:sz w:val="24"/>
                    <w:szCs w:val="24"/>
                  </w:rPr>
                </w:pPr>
                <w:r w:rsidRPr="00FE5EFA">
                  <w:rPr>
                    <w:rFonts w:eastAsia="Times New Roman"/>
                    <w:color w:val="2C2A29"/>
                    <w:sz w:val="24"/>
                    <w:szCs w:val="24"/>
                  </w:rPr>
                  <w:t xml:space="preserve">1. </w:t>
                </w:r>
                <w:r w:rsidRPr="00FE5EFA">
                  <w:rPr>
                    <w:rFonts w:eastAsia="Times New Roman"/>
                    <w:sz w:val="24"/>
                    <w:szCs w:val="24"/>
                  </w:rPr>
                  <w:t xml:space="preserve">Encumbered Disbursements </w:t>
                </w:r>
                <w:r w:rsidR="00FC3F14" w:rsidRPr="00FE5EFA">
                  <w:rPr>
                    <w:rFonts w:eastAsia="Times New Roman"/>
                    <w:color w:val="2C2A29"/>
                    <w:sz w:val="24"/>
                    <w:szCs w:val="24"/>
                  </w:rPr>
                  <w:t>–</w:t>
                </w:r>
                <w:r w:rsidRPr="00FE5EFA">
                  <w:rPr>
                    <w:rFonts w:eastAsia="Times New Roman"/>
                    <w:sz w:val="24"/>
                    <w:szCs w:val="24"/>
                  </w:rPr>
                  <w:t xml:space="preserve"> Suppliers who have received a purchase order from the University are instructed to submit their invoice to Disbursement Services. Invoices must include a valid purchase order number</w:t>
                </w:r>
                <w:r w:rsidRPr="00FE5EFA">
                  <w:rPr>
                    <w:sz w:val="24"/>
                    <w:szCs w:val="24"/>
                  </w:rPr>
                  <w:t xml:space="preserve">, an invoice number, invoice date, and itemized description detailing the </w:t>
                </w:r>
                <w:r w:rsidR="00330A7E" w:rsidRPr="00FE5EFA">
                  <w:rPr>
                    <w:sz w:val="24"/>
                    <w:szCs w:val="24"/>
                  </w:rPr>
                  <w:t>goods or services purchased</w:t>
                </w:r>
                <w:r w:rsidRPr="00FE5EFA">
                  <w:rPr>
                    <w:sz w:val="24"/>
                    <w:szCs w:val="24"/>
                  </w:rPr>
                  <w:t xml:space="preserve">. </w:t>
                </w:r>
                <w:r w:rsidRPr="00FE5EFA">
                  <w:rPr>
                    <w:rFonts w:eastAsia="Times New Roman"/>
                    <w:color w:val="2C2A29"/>
                    <w:sz w:val="24"/>
                    <w:szCs w:val="24"/>
                  </w:rPr>
                  <w:t>If the merchandise and/or the invoice are received in the department, it is necessary for the department to ensure that the invoice is forwarded to Disbursement Services immediately for payment.</w:t>
                </w:r>
                <w:r w:rsidR="00DC4DCC" w:rsidRPr="00FE5EFA">
                  <w:rPr>
                    <w:rFonts w:eastAsia="Times New Roman"/>
                    <w:color w:val="2C2A29"/>
                    <w:sz w:val="24"/>
                    <w:szCs w:val="24"/>
                  </w:rPr>
                  <w:t xml:space="preserve">  Departments must acknowledge </w:t>
                </w:r>
                <w:r w:rsidR="00FD609D" w:rsidRPr="00FE5EFA">
                  <w:rPr>
                    <w:rFonts w:eastAsia="Times New Roman"/>
                    <w:color w:val="2C2A29"/>
                    <w:sz w:val="24"/>
                    <w:szCs w:val="24"/>
                  </w:rPr>
                  <w:t>the good</w:t>
                </w:r>
                <w:r w:rsidR="006079F3" w:rsidRPr="00FE5EFA">
                  <w:rPr>
                    <w:rFonts w:eastAsia="Times New Roman"/>
                    <w:color w:val="2C2A29"/>
                    <w:sz w:val="24"/>
                    <w:szCs w:val="24"/>
                  </w:rPr>
                  <w:t>s</w:t>
                </w:r>
                <w:r w:rsidR="00FD609D" w:rsidRPr="00FE5EFA">
                  <w:rPr>
                    <w:rFonts w:eastAsia="Times New Roman"/>
                    <w:color w:val="2C2A29"/>
                    <w:sz w:val="24"/>
                    <w:szCs w:val="24"/>
                  </w:rPr>
                  <w:t xml:space="preserve"> and/or services have been received by creating </w:t>
                </w:r>
                <w:r w:rsidR="006079F3" w:rsidRPr="00FE5EFA">
                  <w:rPr>
                    <w:rFonts w:eastAsia="Times New Roman"/>
                    <w:color w:val="2C2A29"/>
                    <w:sz w:val="24"/>
                    <w:szCs w:val="24"/>
                  </w:rPr>
                  <w:t xml:space="preserve">a receipt </w:t>
                </w:r>
                <w:r w:rsidR="001B0CDE" w:rsidRPr="00FE5EFA">
                  <w:rPr>
                    <w:rFonts w:eastAsia="Times New Roman"/>
                    <w:color w:val="2C2A29"/>
                    <w:sz w:val="24"/>
                    <w:szCs w:val="24"/>
                  </w:rPr>
                  <w:t>in OMNI.</w:t>
                </w:r>
              </w:p>
              <w:p w14:paraId="219C5CC5" w14:textId="47C01DCF" w:rsidR="009C4522" w:rsidRPr="00FE5EFA" w:rsidRDefault="00ED3AB2" w:rsidP="002E6C97">
                <w:pPr>
                  <w:shd w:val="clear" w:color="auto" w:fill="F2F2F2"/>
                  <w:spacing w:after="150"/>
                  <w:ind w:left="1335"/>
                  <w:rPr>
                    <w:rFonts w:eastAsia="Times New Roman"/>
                    <w:color w:val="2C2A29"/>
                    <w:sz w:val="24"/>
                    <w:szCs w:val="24"/>
                  </w:rPr>
                </w:pPr>
                <w:r w:rsidRPr="00FE5EFA">
                  <w:rPr>
                    <w:rFonts w:eastAsia="Times New Roman"/>
                    <w:color w:val="2C2A29"/>
                    <w:sz w:val="24"/>
                    <w:szCs w:val="24"/>
                  </w:rPr>
                  <w:lastRenderedPageBreak/>
                  <w:t>2</w:t>
                </w:r>
                <w:r w:rsidR="009C4522" w:rsidRPr="00FE5EFA">
                  <w:rPr>
                    <w:rFonts w:eastAsia="Times New Roman"/>
                    <w:color w:val="2C2A29"/>
                    <w:sz w:val="24"/>
                    <w:szCs w:val="24"/>
                  </w:rPr>
                  <w:t xml:space="preserve">. Unencumbered Disbursements </w:t>
                </w:r>
                <w:r w:rsidR="00FC3F14" w:rsidRPr="00FE5EFA">
                  <w:rPr>
                    <w:rFonts w:eastAsia="Times New Roman"/>
                    <w:color w:val="2C2A29"/>
                    <w:sz w:val="24"/>
                    <w:szCs w:val="24"/>
                  </w:rPr>
                  <w:t>–</w:t>
                </w:r>
                <w:r w:rsidR="009C4522" w:rsidRPr="00FE5EFA">
                  <w:rPr>
                    <w:rFonts w:eastAsia="Times New Roman"/>
                    <w:color w:val="2C2A29"/>
                    <w:sz w:val="24"/>
                    <w:szCs w:val="24"/>
                  </w:rPr>
                  <w:t xml:space="preserve"> Unencumbered disbursements should only occur where normal Procurement procedures are not available or where a supplier will not accept the University purchasing card.</w:t>
                </w:r>
                <w:r w:rsidR="00AD3397" w:rsidRPr="00FE5EFA">
                  <w:rPr>
                    <w:sz w:val="24"/>
                    <w:szCs w:val="24"/>
                  </w:rPr>
                  <w:t xml:space="preserve"> If the department fails to create a Purchase order before the goods and services are provided, a confirming order can be submitted through Procurement Services to avoid processing an unencumbered payment</w:t>
                </w:r>
                <w:r w:rsidR="009C4522" w:rsidRPr="00FE5EFA">
                  <w:rPr>
                    <w:rFonts w:eastAsia="Times New Roman"/>
                    <w:color w:val="2C2A29"/>
                    <w:sz w:val="24"/>
                    <w:szCs w:val="24"/>
                  </w:rPr>
                  <w:t xml:space="preserve">. </w:t>
                </w:r>
                <w:r w:rsidR="00D14A38" w:rsidRPr="00FE5EFA">
                  <w:rPr>
                    <w:rFonts w:eastAsia="Times New Roman"/>
                    <w:color w:val="2C2A29"/>
                    <w:sz w:val="24"/>
                    <w:szCs w:val="24"/>
                  </w:rPr>
                  <w:t xml:space="preserve">It is the Departments responsibility to ensure that </w:t>
                </w:r>
                <w:r w:rsidR="00E87971" w:rsidRPr="00FE5EFA">
                  <w:rPr>
                    <w:rFonts w:eastAsia="Times New Roman"/>
                    <w:color w:val="2C2A29"/>
                    <w:sz w:val="24"/>
                    <w:szCs w:val="24"/>
                  </w:rPr>
                  <w:t>unencumbered</w:t>
                </w:r>
                <w:r w:rsidR="00D30C01" w:rsidRPr="00FE5EFA">
                  <w:rPr>
                    <w:rFonts w:eastAsia="Times New Roman"/>
                    <w:color w:val="2C2A29"/>
                    <w:sz w:val="24"/>
                    <w:szCs w:val="24"/>
                  </w:rPr>
                  <w:t xml:space="preserve"> expenditure</w:t>
                </w:r>
                <w:r w:rsidR="00525E8E" w:rsidRPr="00FE5EFA">
                  <w:rPr>
                    <w:rFonts w:eastAsia="Times New Roman"/>
                    <w:color w:val="2C2A29"/>
                    <w:sz w:val="24"/>
                    <w:szCs w:val="24"/>
                  </w:rPr>
                  <w:t>s</w:t>
                </w:r>
                <w:r w:rsidR="00D30C01" w:rsidRPr="00FE5EFA">
                  <w:rPr>
                    <w:rFonts w:eastAsia="Times New Roman"/>
                    <w:color w:val="2C2A29"/>
                    <w:sz w:val="24"/>
                    <w:szCs w:val="24"/>
                  </w:rPr>
                  <w:t xml:space="preserve"> </w:t>
                </w:r>
                <w:r w:rsidR="00525E8E" w:rsidRPr="00FE5EFA">
                  <w:rPr>
                    <w:rFonts w:eastAsia="Times New Roman"/>
                    <w:color w:val="2C2A29"/>
                    <w:sz w:val="24"/>
                    <w:szCs w:val="24"/>
                  </w:rPr>
                  <w:t>are</w:t>
                </w:r>
                <w:r w:rsidR="00293862" w:rsidRPr="00FE5EFA">
                  <w:rPr>
                    <w:rFonts w:eastAsia="Times New Roman"/>
                    <w:color w:val="2C2A29"/>
                    <w:sz w:val="24"/>
                    <w:szCs w:val="24"/>
                  </w:rPr>
                  <w:t xml:space="preserve"> approved </w:t>
                </w:r>
                <w:r w:rsidR="00B63CC5" w:rsidRPr="00FE5EFA">
                  <w:rPr>
                    <w:rFonts w:eastAsia="Times New Roman"/>
                    <w:color w:val="2C2A29"/>
                    <w:sz w:val="24"/>
                    <w:szCs w:val="24"/>
                  </w:rPr>
                  <w:t xml:space="preserve">by an </w:t>
                </w:r>
                <w:r w:rsidR="00630C46" w:rsidRPr="00FE5EFA">
                  <w:rPr>
                    <w:rFonts w:eastAsia="Times New Roman"/>
                    <w:color w:val="2C2A29"/>
                    <w:sz w:val="24"/>
                    <w:szCs w:val="24"/>
                  </w:rPr>
                  <w:t xml:space="preserve">authorized signer </w:t>
                </w:r>
                <w:r w:rsidR="00293862" w:rsidRPr="00FE5EFA">
                  <w:rPr>
                    <w:rFonts w:eastAsia="Times New Roman"/>
                    <w:color w:val="2C2A29"/>
                    <w:sz w:val="24"/>
                    <w:szCs w:val="24"/>
                  </w:rPr>
                  <w:t>and there is sufficient budget</w:t>
                </w:r>
                <w:r w:rsidR="009F5132" w:rsidRPr="00FE5EFA">
                  <w:rPr>
                    <w:rFonts w:eastAsia="Times New Roman"/>
                    <w:color w:val="2C2A29"/>
                    <w:sz w:val="24"/>
                    <w:szCs w:val="24"/>
                  </w:rPr>
                  <w:t xml:space="preserve"> available</w:t>
                </w:r>
                <w:r w:rsidR="00FD0AD7" w:rsidRPr="00FE5EFA">
                  <w:rPr>
                    <w:rFonts w:eastAsia="Times New Roman"/>
                    <w:color w:val="2C2A29"/>
                    <w:sz w:val="24"/>
                    <w:szCs w:val="24"/>
                  </w:rPr>
                  <w:t xml:space="preserve"> for the payment of the invoice</w:t>
                </w:r>
                <w:r w:rsidR="00525E8E" w:rsidRPr="00FE5EFA">
                  <w:rPr>
                    <w:rFonts w:eastAsia="Times New Roman"/>
                    <w:color w:val="2C2A29"/>
                    <w:sz w:val="24"/>
                    <w:szCs w:val="24"/>
                  </w:rPr>
                  <w:t>.</w:t>
                </w:r>
                <w:r w:rsidR="00464CA3" w:rsidRPr="00FE5EFA">
                  <w:rPr>
                    <w:rFonts w:eastAsia="Times New Roman"/>
                    <w:color w:val="2C2A29"/>
                    <w:sz w:val="24"/>
                    <w:szCs w:val="24"/>
                  </w:rPr>
                  <w:t xml:space="preserve"> </w:t>
                </w:r>
                <w:r w:rsidR="00A428CB" w:rsidRPr="00FE5EFA">
                  <w:rPr>
                    <w:rFonts w:eastAsia="Times New Roman"/>
                    <w:color w:val="2C2A29"/>
                    <w:sz w:val="24"/>
                    <w:szCs w:val="24"/>
                  </w:rPr>
                  <w:t xml:space="preserve"> Please refer to the </w:t>
                </w:r>
                <w:hyperlink r:id="rId12" w:tgtFrame="_blank" w:history="1">
                  <w:r w:rsidR="00A428CB" w:rsidRPr="00FE5EFA">
                    <w:rPr>
                      <w:rFonts w:eastAsia="Times New Roman"/>
                      <w:color w:val="000000" w:themeColor="text1"/>
                      <w:sz w:val="24"/>
                      <w:szCs w:val="24"/>
                    </w:rPr>
                    <w:t>University’s Expenditure Guidelines</w:t>
                  </w:r>
                  <w:r w:rsidR="00A428CB" w:rsidRPr="00FE5EFA">
                    <w:rPr>
                      <w:rFonts w:eastAsia="Times New Roman"/>
                      <w:b/>
                      <w:bCs/>
                      <w:color w:val="782F40"/>
                      <w:sz w:val="24"/>
                      <w:szCs w:val="24"/>
                    </w:rPr>
                    <w:t> </w:t>
                  </w:r>
                </w:hyperlink>
                <w:r w:rsidR="00A428CB" w:rsidRPr="00FE5EFA">
                  <w:rPr>
                    <w:rFonts w:eastAsia="Times New Roman"/>
                    <w:color w:val="2C2A29"/>
                    <w:sz w:val="24"/>
                    <w:szCs w:val="24"/>
                  </w:rPr>
                  <w:t xml:space="preserve">for specific allowable </w:t>
                </w:r>
                <w:r w:rsidR="00967AAE" w:rsidRPr="00FE5EFA">
                  <w:rPr>
                    <w:rFonts w:eastAsia="Times New Roman"/>
                    <w:color w:val="2C2A29"/>
                    <w:sz w:val="24"/>
                    <w:szCs w:val="24"/>
                  </w:rPr>
                  <w:t xml:space="preserve">unencumbered </w:t>
                </w:r>
                <w:r w:rsidR="00A428CB" w:rsidRPr="00FE5EFA">
                  <w:rPr>
                    <w:rFonts w:eastAsia="Times New Roman"/>
                    <w:color w:val="2C2A29"/>
                    <w:sz w:val="24"/>
                    <w:szCs w:val="24"/>
                  </w:rPr>
                  <w:t xml:space="preserve">expenditures. </w:t>
                </w:r>
              </w:p>
              <w:p w14:paraId="4FD83045" w14:textId="0B9EEBAD" w:rsidR="009C4522" w:rsidRDefault="00ED3AB2" w:rsidP="00FC3F14">
                <w:pPr>
                  <w:shd w:val="clear" w:color="auto" w:fill="F2F2F2"/>
                  <w:spacing w:after="150"/>
                  <w:ind w:left="1335"/>
                  <w:rPr>
                    <w:rFonts w:eastAsia="Times New Roman"/>
                    <w:color w:val="2C2A29"/>
                    <w:sz w:val="24"/>
                    <w:szCs w:val="24"/>
                  </w:rPr>
                </w:pPr>
                <w:r w:rsidRPr="00FE5EFA">
                  <w:rPr>
                    <w:rFonts w:eastAsia="Times New Roman"/>
                    <w:color w:val="2C2A29"/>
                    <w:sz w:val="24"/>
                    <w:szCs w:val="24"/>
                  </w:rPr>
                  <w:t>3</w:t>
                </w:r>
                <w:r w:rsidR="009C4522" w:rsidRPr="00FE5EFA">
                  <w:rPr>
                    <w:rFonts w:eastAsia="Times New Roman"/>
                    <w:color w:val="2C2A29"/>
                    <w:sz w:val="24"/>
                    <w:szCs w:val="24"/>
                  </w:rPr>
                  <w:t xml:space="preserve">. Procedures for Payment </w:t>
                </w:r>
                <w:r w:rsidR="00FC3F14" w:rsidRPr="00FE5EFA">
                  <w:rPr>
                    <w:rFonts w:eastAsia="Times New Roman"/>
                    <w:color w:val="2C2A29"/>
                    <w:sz w:val="24"/>
                    <w:szCs w:val="24"/>
                  </w:rPr>
                  <w:t>–</w:t>
                </w:r>
                <w:r w:rsidR="00FC3F14">
                  <w:rPr>
                    <w:rFonts w:eastAsia="Times New Roman"/>
                    <w:color w:val="2C2A29"/>
                    <w:sz w:val="24"/>
                    <w:szCs w:val="24"/>
                  </w:rPr>
                  <w:t xml:space="preserve"> </w:t>
                </w:r>
                <w:r w:rsidR="008F3D50" w:rsidRPr="00FE5EFA">
                  <w:rPr>
                    <w:sz w:val="24"/>
                    <w:szCs w:val="24"/>
                  </w:rPr>
                  <w:t>Departments must comply with all procedures for payment, as described on the Controller’s Office website</w:t>
                </w:r>
                <w:r w:rsidR="00FC3F14">
                  <w:rPr>
                    <w:sz w:val="24"/>
                    <w:szCs w:val="24"/>
                  </w:rPr>
                  <w:t>.</w:t>
                </w:r>
                <w:r w:rsidR="009C4522" w:rsidRPr="00FE5EFA">
                  <w:rPr>
                    <w:rFonts w:eastAsia="Times New Roman"/>
                    <w:color w:val="2C2A29"/>
                    <w:sz w:val="24"/>
                    <w:szCs w:val="24"/>
                  </w:rPr>
                  <w:t xml:space="preserve"> </w:t>
                </w:r>
              </w:p>
              <w:p w14:paraId="1882F955" w14:textId="5059A5AE" w:rsidR="00FC3F14" w:rsidRPr="00FE5EFA" w:rsidRDefault="00FC3F14" w:rsidP="00FC3F14">
                <w:pPr>
                  <w:shd w:val="clear" w:color="auto" w:fill="F2F2F2"/>
                  <w:spacing w:after="150"/>
                  <w:ind w:left="1335"/>
                  <w:rPr>
                    <w:rFonts w:eastAsia="Times New Roman"/>
                    <w:color w:val="2C2A29"/>
                    <w:sz w:val="24"/>
                    <w:szCs w:val="24"/>
                  </w:rPr>
                </w:pPr>
                <w:r w:rsidRPr="00FE5EFA">
                  <w:rPr>
                    <w:rFonts w:eastAsia="Times New Roman"/>
                    <w:color w:val="2C2A29"/>
                    <w:sz w:val="24"/>
                    <w:szCs w:val="24"/>
                  </w:rPr>
                  <w:t xml:space="preserve">4. Foreign Supplier Payments – </w:t>
                </w:r>
                <w:r w:rsidRPr="00FE5EFA">
                  <w:rPr>
                    <w:sz w:val="24"/>
                    <w:szCs w:val="24"/>
                  </w:rPr>
                  <w:t xml:space="preserve">Foreign Supplier Payments require the department to complete the Foreign Supplier Payment Request Form and must include the original invoice. These forms are reviewed by Disbursement Services. Payment will be disbursed via the documented method provided by the supplier. </w:t>
                </w:r>
                <w:r w:rsidRPr="00FE5EFA">
                  <w:rPr>
                    <w:rFonts w:eastAsia="Times New Roman"/>
                    <w:color w:val="2C2A29"/>
                    <w:sz w:val="24"/>
                    <w:szCs w:val="24"/>
                  </w:rPr>
                  <w:t>The same department may be charged for fees associated with the wire payments.</w:t>
                </w:r>
              </w:p>
              <w:p w14:paraId="05523BD3" w14:textId="71B68ADE" w:rsidR="009C4522" w:rsidRPr="00FE5EFA" w:rsidRDefault="00ED3AB2" w:rsidP="00FC3F14">
                <w:pPr>
                  <w:pStyle w:val="ListParagraph"/>
                  <w:numPr>
                    <w:ilvl w:val="0"/>
                    <w:numId w:val="5"/>
                  </w:numPr>
                  <w:shd w:val="clear" w:color="auto" w:fill="F2F2F2"/>
                  <w:spacing w:after="150"/>
                  <w:rPr>
                    <w:rFonts w:eastAsia="Times New Roman"/>
                    <w:color w:val="2C2A29"/>
                    <w:sz w:val="24"/>
                    <w:szCs w:val="24"/>
                  </w:rPr>
                </w:pPr>
                <w:bookmarkStart w:id="9" w:name="NonTravelReimburse"/>
                <w:r w:rsidRPr="00FE5EFA">
                  <w:rPr>
                    <w:rFonts w:eastAsia="Times New Roman"/>
                    <w:sz w:val="24"/>
                    <w:szCs w:val="24"/>
                  </w:rPr>
                  <w:t xml:space="preserve"> </w:t>
                </w:r>
                <w:r w:rsidR="009C4522" w:rsidRPr="00FE5EFA">
                  <w:rPr>
                    <w:rFonts w:eastAsia="Times New Roman"/>
                    <w:b/>
                    <w:bCs/>
                    <w:color w:val="000000" w:themeColor="text1"/>
                    <w:sz w:val="24"/>
                    <w:szCs w:val="24"/>
                  </w:rPr>
                  <w:t>NON-TRAVEL REIMBURSEMENTS</w:t>
                </w:r>
                <w:bookmarkEnd w:id="9"/>
              </w:p>
              <w:p w14:paraId="3ECDB60A" w14:textId="29FF8452"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color w:val="2C2A29"/>
                    <w:sz w:val="24"/>
                    <w:szCs w:val="24"/>
                  </w:rPr>
                  <w:t xml:space="preserve">In an emergency, it may become necessary for a faculty/staff member to pay for materials or services from their personal funds with the expectation that they will be reimbursed by the University for the purchase. All reimbursements will require a justification as to why the University's </w:t>
                </w:r>
                <w:r w:rsidR="00C04471" w:rsidRPr="00FE5EFA">
                  <w:rPr>
                    <w:rFonts w:eastAsia="Times New Roman"/>
                    <w:color w:val="2C2A29"/>
                    <w:sz w:val="24"/>
                    <w:szCs w:val="24"/>
                  </w:rPr>
                  <w:t xml:space="preserve">procurement </w:t>
                </w:r>
                <w:r w:rsidRPr="00FE5EFA">
                  <w:rPr>
                    <w:rFonts w:eastAsia="Times New Roman"/>
                    <w:color w:val="2C2A29"/>
                    <w:sz w:val="24"/>
                    <w:szCs w:val="24"/>
                  </w:rPr>
                  <w:t>system was not used. If it is deemed that the purchase is improper, the invoice will be returned</w:t>
                </w:r>
                <w:r w:rsidR="000A6ACB" w:rsidRPr="00FE5EFA">
                  <w:rPr>
                    <w:rFonts w:eastAsia="Times New Roman"/>
                    <w:color w:val="2C2A29"/>
                    <w:sz w:val="24"/>
                    <w:szCs w:val="24"/>
                  </w:rPr>
                  <w:t>,</w:t>
                </w:r>
                <w:r w:rsidRPr="00FE5EFA">
                  <w:rPr>
                    <w:rFonts w:eastAsia="Times New Roman"/>
                    <w:color w:val="2C2A29"/>
                    <w:sz w:val="24"/>
                    <w:szCs w:val="24"/>
                  </w:rPr>
                  <w:t xml:space="preserve"> and the charges will be borne at the personal expense of the individual making the purchase. </w:t>
                </w:r>
              </w:p>
              <w:p w14:paraId="08E054F8" w14:textId="1F287E30" w:rsidR="009C4522" w:rsidRPr="00FE5EFA" w:rsidRDefault="009C4522" w:rsidP="00FC3F14">
                <w:pPr>
                  <w:pStyle w:val="ListParagraph"/>
                  <w:numPr>
                    <w:ilvl w:val="0"/>
                    <w:numId w:val="5"/>
                  </w:numPr>
                  <w:shd w:val="clear" w:color="auto" w:fill="F2F2F2"/>
                  <w:spacing w:after="150"/>
                  <w:rPr>
                    <w:rFonts w:eastAsia="Times New Roman"/>
                    <w:color w:val="000000" w:themeColor="text1"/>
                    <w:sz w:val="24"/>
                    <w:szCs w:val="24"/>
                  </w:rPr>
                </w:pPr>
                <w:bookmarkStart w:id="10" w:name="CreditInv"/>
                <w:r w:rsidRPr="00FE5EFA">
                  <w:rPr>
                    <w:rFonts w:eastAsia="Times New Roman"/>
                    <w:b/>
                    <w:bCs/>
                    <w:color w:val="000000" w:themeColor="text1"/>
                    <w:sz w:val="24"/>
                    <w:szCs w:val="24"/>
                  </w:rPr>
                  <w:t>CREDIT INVOICES</w:t>
                </w:r>
                <w:bookmarkEnd w:id="10"/>
              </w:p>
              <w:p w14:paraId="21286B50" w14:textId="507C1DFC" w:rsidR="009C4522" w:rsidRDefault="009C4522" w:rsidP="00B5560D">
                <w:pPr>
                  <w:shd w:val="clear" w:color="auto" w:fill="F2F2F2"/>
                  <w:spacing w:after="150"/>
                  <w:ind w:left="1065"/>
                  <w:rPr>
                    <w:rFonts w:eastAsia="Times New Roman"/>
                    <w:color w:val="2C2A29"/>
                    <w:sz w:val="24"/>
                    <w:szCs w:val="24"/>
                  </w:rPr>
                </w:pPr>
                <w:r w:rsidRPr="00FE5EFA">
                  <w:rPr>
                    <w:rFonts w:eastAsia="Times New Roman"/>
                    <w:color w:val="2C2A29"/>
                    <w:sz w:val="24"/>
                    <w:szCs w:val="24"/>
                  </w:rPr>
                  <w:t xml:space="preserve">When a department returns merchandise for credit, Disbursement Services needs to be notified to expect a credit memo. If the credit memo is from a </w:t>
                </w:r>
                <w:r w:rsidR="00C763A2">
                  <w:rPr>
                    <w:rFonts w:eastAsia="Times New Roman"/>
                    <w:color w:val="2C2A29"/>
                    <w:sz w:val="24"/>
                    <w:szCs w:val="24"/>
                  </w:rPr>
                  <w:t>supplier paid by the University at least once a month</w:t>
                </w:r>
                <w:r w:rsidRPr="00FE5EFA">
                  <w:rPr>
                    <w:rFonts w:eastAsia="Times New Roman"/>
                    <w:color w:val="2C2A29"/>
                    <w:sz w:val="24"/>
                    <w:szCs w:val="24"/>
                  </w:rPr>
                  <w:t>, the credit will be applied to the next invoice from that supplier</w:t>
                </w:r>
                <w:r w:rsidR="00B22781" w:rsidRPr="00FE5EFA">
                  <w:rPr>
                    <w:rFonts w:eastAsia="Times New Roman"/>
                    <w:color w:val="2C2A29"/>
                    <w:sz w:val="24"/>
                    <w:szCs w:val="24"/>
                  </w:rPr>
                  <w:t>.</w:t>
                </w:r>
                <w:r w:rsidRPr="00FE5EFA">
                  <w:rPr>
                    <w:rFonts w:eastAsia="Times New Roman"/>
                    <w:color w:val="2C2A29"/>
                    <w:sz w:val="24"/>
                    <w:szCs w:val="24"/>
                  </w:rPr>
                  <w:t xml:space="preserve"> Otherwise, a refund will be requested in lieu of a credit memo. The refund will be deposited to the account charged </w:t>
                </w:r>
                <w:r w:rsidR="00813056" w:rsidRPr="00FE5EFA">
                  <w:rPr>
                    <w:rFonts w:eastAsia="Times New Roman"/>
                    <w:color w:val="2C2A29"/>
                    <w:sz w:val="24"/>
                    <w:szCs w:val="24"/>
                  </w:rPr>
                  <w:t>by</w:t>
                </w:r>
                <w:r w:rsidRPr="00FE5EFA">
                  <w:rPr>
                    <w:rFonts w:eastAsia="Times New Roman"/>
                    <w:color w:val="2C2A29"/>
                    <w:sz w:val="24"/>
                    <w:szCs w:val="24"/>
                  </w:rPr>
                  <w:t xml:space="preserve"> the original purchase.</w:t>
                </w:r>
              </w:p>
              <w:p w14:paraId="7A7B12DC" w14:textId="7D9C9CEC" w:rsidR="009C4522" w:rsidRPr="00FC3F14" w:rsidRDefault="00FC3F14" w:rsidP="00FC3F14">
                <w:pPr>
                  <w:pStyle w:val="ListParagraph"/>
                  <w:numPr>
                    <w:ilvl w:val="0"/>
                    <w:numId w:val="5"/>
                  </w:numPr>
                  <w:shd w:val="clear" w:color="auto" w:fill="F2F2F2"/>
                  <w:spacing w:after="150"/>
                  <w:rPr>
                    <w:rFonts w:eastAsia="Times New Roman"/>
                    <w:color w:val="000000" w:themeColor="text1"/>
                    <w:sz w:val="24"/>
                    <w:szCs w:val="24"/>
                  </w:rPr>
                </w:pPr>
                <w:r w:rsidRPr="00FC3F14">
                  <w:rPr>
                    <w:rFonts w:eastAsia="Times New Roman"/>
                    <w:b/>
                    <w:bCs/>
                    <w:color w:val="000000" w:themeColor="text1"/>
                    <w:sz w:val="24"/>
                    <w:szCs w:val="24"/>
                  </w:rPr>
                  <w:t>INTERDEPARTMENTAL TRANSACTIONS</w:t>
                </w:r>
              </w:p>
              <w:p w14:paraId="5E8F7B14" w14:textId="3FDFBCD6"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color w:val="2C2A29"/>
                    <w:sz w:val="24"/>
                    <w:szCs w:val="24"/>
                  </w:rPr>
                  <w:t xml:space="preserve">Interdepartmental transactions, also referred to as internal bills, are made </w:t>
                </w:r>
                <w:proofErr w:type="gramStart"/>
                <w:r w:rsidRPr="00FE5EFA">
                  <w:rPr>
                    <w:rFonts w:eastAsia="Times New Roman"/>
                    <w:color w:val="2C2A29"/>
                    <w:sz w:val="24"/>
                    <w:szCs w:val="24"/>
                  </w:rPr>
                  <w:t>in order to</w:t>
                </w:r>
                <w:proofErr w:type="gramEnd"/>
                <w:r w:rsidRPr="00FE5EFA">
                  <w:rPr>
                    <w:rFonts w:eastAsia="Times New Roman"/>
                    <w:color w:val="2C2A29"/>
                    <w:sz w:val="24"/>
                    <w:szCs w:val="24"/>
                  </w:rPr>
                  <w:t xml:space="preserve"> record sales of goods and services between two departments within the university.</w:t>
                </w:r>
              </w:p>
              <w:p w14:paraId="3F9B5626" w14:textId="4A2FB0A7" w:rsidR="009C4522" w:rsidRPr="00FE5EFA" w:rsidRDefault="009C4522">
                <w:pPr>
                  <w:shd w:val="clear" w:color="auto" w:fill="F2F2F2"/>
                  <w:spacing w:after="150"/>
                  <w:ind w:left="1065"/>
                  <w:rPr>
                    <w:rFonts w:eastAsia="Times New Roman"/>
                    <w:color w:val="2C2A29"/>
                    <w:sz w:val="24"/>
                    <w:szCs w:val="24"/>
                  </w:rPr>
                </w:pPr>
                <w:bookmarkStart w:id="11" w:name="_Hlk49515021"/>
                <w:bookmarkStart w:id="12" w:name="_Hlk47955399"/>
                <w:r w:rsidRPr="00FE5EFA">
                  <w:rPr>
                    <w:rFonts w:eastAsia="Times New Roman"/>
                    <w:color w:val="2C2A29"/>
                    <w:sz w:val="24"/>
                    <w:szCs w:val="24"/>
                  </w:rPr>
                  <w:t>Interdepartmental transactions are normally authorized by the approval of an internal auxiliary requisition an</w:t>
                </w:r>
                <w:r w:rsidR="00ED50A2" w:rsidRPr="00FE5EFA">
                  <w:rPr>
                    <w:rFonts w:eastAsia="Times New Roman"/>
                    <w:color w:val="2C2A29"/>
                    <w:sz w:val="24"/>
                    <w:szCs w:val="24"/>
                  </w:rPr>
                  <w:t>d</w:t>
                </w:r>
                <w:r w:rsidRPr="00FE5EFA">
                  <w:rPr>
                    <w:rFonts w:eastAsia="Times New Roman"/>
                    <w:color w:val="2C2A29"/>
                    <w:sz w:val="24"/>
                    <w:szCs w:val="24"/>
                  </w:rPr>
                  <w:t xml:space="preserve"> are initiated by the selling auxiliary through the internal billing process</w:t>
                </w:r>
                <w:r w:rsidR="00F72F3E" w:rsidRPr="00FE5EFA">
                  <w:rPr>
                    <w:rFonts w:eastAsia="Times New Roman"/>
                    <w:color w:val="2C2A29"/>
                    <w:sz w:val="24"/>
                    <w:szCs w:val="24"/>
                  </w:rPr>
                  <w:t>.</w:t>
                </w:r>
                <w:bookmarkEnd w:id="11"/>
                <w:r w:rsidRPr="00FE5EFA">
                  <w:rPr>
                    <w:rFonts w:eastAsia="Times New Roman"/>
                    <w:color w:val="2C2A29"/>
                    <w:sz w:val="24"/>
                    <w:szCs w:val="24"/>
                  </w:rPr>
                  <w:t xml:space="preserve"> </w:t>
                </w:r>
                <w:bookmarkStart w:id="13" w:name="_Hlk49514952"/>
                <w:r w:rsidRPr="00FE5EFA">
                  <w:rPr>
                    <w:rFonts w:eastAsia="Times New Roman"/>
                    <w:color w:val="2C2A29"/>
                    <w:sz w:val="24"/>
                    <w:szCs w:val="24"/>
                  </w:rPr>
                  <w:t>Any interdepartmental transaction</w:t>
                </w:r>
                <w:r w:rsidR="005052B3" w:rsidRPr="00FE5EFA">
                  <w:rPr>
                    <w:rFonts w:eastAsia="Times New Roman"/>
                    <w:color w:val="2C2A29"/>
                    <w:sz w:val="24"/>
                    <w:szCs w:val="24"/>
                  </w:rPr>
                  <w:t>s</w:t>
                </w:r>
                <w:r w:rsidRPr="00FE5EFA">
                  <w:rPr>
                    <w:rFonts w:eastAsia="Times New Roman"/>
                    <w:color w:val="2C2A29"/>
                    <w:sz w:val="24"/>
                    <w:szCs w:val="24"/>
                  </w:rPr>
                  <w:t xml:space="preserve"> involving </w:t>
                </w:r>
                <w:r w:rsidRPr="00FE5EFA">
                  <w:rPr>
                    <w:rFonts w:eastAsia="Times New Roman"/>
                    <w:color w:val="2C2A29"/>
                    <w:sz w:val="24"/>
                    <w:szCs w:val="24"/>
                  </w:rPr>
                  <w:lastRenderedPageBreak/>
                  <w:t>contract or grant fund</w:t>
                </w:r>
                <w:r w:rsidR="00951EB2" w:rsidRPr="00FE5EFA">
                  <w:rPr>
                    <w:rFonts w:eastAsia="Times New Roman"/>
                    <w:color w:val="2C2A29"/>
                    <w:sz w:val="24"/>
                    <w:szCs w:val="24"/>
                  </w:rPr>
                  <w:t>s</w:t>
                </w:r>
                <w:r w:rsidRPr="00FE5EFA">
                  <w:rPr>
                    <w:rFonts w:eastAsia="Times New Roman"/>
                    <w:color w:val="2C2A29"/>
                    <w:sz w:val="24"/>
                    <w:szCs w:val="24"/>
                  </w:rPr>
                  <w:t xml:space="preserve"> must be approved by the Office of Sponsored Research</w:t>
                </w:r>
                <w:bookmarkEnd w:id="13"/>
                <w:r w:rsidR="00B67660">
                  <w:rPr>
                    <w:rFonts w:eastAsia="Times New Roman"/>
                    <w:color w:val="2C2A29"/>
                    <w:sz w:val="24"/>
                    <w:szCs w:val="24"/>
                  </w:rPr>
                  <w:t xml:space="preserve"> or FSU Research Foundation</w:t>
                </w:r>
                <w:r w:rsidRPr="00FE5EFA">
                  <w:rPr>
                    <w:rFonts w:eastAsia="Times New Roman"/>
                    <w:color w:val="2C2A29"/>
                    <w:sz w:val="24"/>
                    <w:szCs w:val="24"/>
                  </w:rPr>
                  <w:t xml:space="preserve">.  </w:t>
                </w:r>
                <w:proofErr w:type="gramStart"/>
                <w:r w:rsidRPr="00FE5EFA">
                  <w:rPr>
                    <w:rFonts w:eastAsia="Times New Roman"/>
                    <w:color w:val="2C2A29"/>
                    <w:sz w:val="24"/>
                    <w:szCs w:val="24"/>
                  </w:rPr>
                  <w:t>In the event that</w:t>
                </w:r>
                <w:proofErr w:type="gramEnd"/>
                <w:r w:rsidRPr="00FE5EFA">
                  <w:rPr>
                    <w:rFonts w:eastAsia="Times New Roman"/>
                    <w:color w:val="2C2A29"/>
                    <w:sz w:val="24"/>
                    <w:szCs w:val="24"/>
                  </w:rPr>
                  <w:t xml:space="preserve"> an interdepartmental transaction is recorded directly to the general ledger, supporting documentation and authorization are required.</w:t>
                </w:r>
                <w:bookmarkEnd w:id="12"/>
              </w:p>
              <w:p w14:paraId="7C654D66" w14:textId="540FE950" w:rsidR="009C4522" w:rsidRPr="00FE5EFA" w:rsidRDefault="009C4522" w:rsidP="00FC3F14">
                <w:pPr>
                  <w:pStyle w:val="ListParagraph"/>
                  <w:numPr>
                    <w:ilvl w:val="0"/>
                    <w:numId w:val="5"/>
                  </w:numPr>
                  <w:shd w:val="clear" w:color="auto" w:fill="F2F2F2"/>
                  <w:spacing w:after="150"/>
                  <w:rPr>
                    <w:rFonts w:eastAsia="Times New Roman"/>
                    <w:color w:val="2C2A29"/>
                    <w:sz w:val="24"/>
                    <w:szCs w:val="24"/>
                  </w:rPr>
                </w:pPr>
                <w:bookmarkStart w:id="14" w:name="ExpGuideline"/>
                <w:r w:rsidRPr="00FE5EFA">
                  <w:rPr>
                    <w:rFonts w:eastAsia="Times New Roman"/>
                    <w:b/>
                    <w:bCs/>
                    <w:color w:val="000000" w:themeColor="text1"/>
                    <w:sz w:val="24"/>
                    <w:szCs w:val="24"/>
                  </w:rPr>
                  <w:t>EXPENDITURE GUIDELINE</w:t>
                </w:r>
                <w:bookmarkEnd w:id="14"/>
                <w:r w:rsidR="00A33ECB" w:rsidRPr="00FE5EFA">
                  <w:rPr>
                    <w:rFonts w:eastAsia="Times New Roman"/>
                    <w:b/>
                    <w:bCs/>
                    <w:color w:val="000000" w:themeColor="text1"/>
                    <w:sz w:val="24"/>
                    <w:szCs w:val="24"/>
                  </w:rPr>
                  <w:t>S</w:t>
                </w:r>
              </w:p>
              <w:p w14:paraId="39917BD4" w14:textId="01768738" w:rsidR="000617A4" w:rsidRPr="00FE5EFA" w:rsidRDefault="000617A4" w:rsidP="00B5560D">
                <w:pPr>
                  <w:shd w:val="clear" w:color="auto" w:fill="F2F2F2"/>
                  <w:spacing w:after="150"/>
                  <w:ind w:left="1065"/>
                  <w:rPr>
                    <w:rFonts w:eastAsia="Times New Roman"/>
                    <w:color w:val="2C2A29"/>
                    <w:sz w:val="24"/>
                    <w:szCs w:val="24"/>
                  </w:rPr>
                </w:pPr>
                <w:proofErr w:type="gramStart"/>
                <w:r w:rsidRPr="00FE5EFA">
                  <w:rPr>
                    <w:rFonts w:eastAsia="Times New Roman"/>
                    <w:color w:val="2C2A29"/>
                    <w:sz w:val="24"/>
                    <w:szCs w:val="24"/>
                  </w:rPr>
                  <w:t>As a general rule</w:t>
                </w:r>
                <w:proofErr w:type="gramEnd"/>
                <w:r w:rsidRPr="00FE5EFA">
                  <w:rPr>
                    <w:rFonts w:eastAsia="Times New Roman"/>
                    <w:color w:val="2C2A29"/>
                    <w:sz w:val="24"/>
                    <w:szCs w:val="24"/>
                  </w:rPr>
                  <w:t>, funds may only be expended for reasonable and appropriate goods and services necessary to accomplish the mission of the University.  It is important that the University maintain a positive reputation for being a good steward of all funds, whether public or privately donated.  It is also recognized that it is equally important that sound fiscal processes be in place that will facilitate the needs of the University community in an efficient and effective manner. To be an allowable expenditure, a clear business purpose must exist; all allowable expenditures, regardless of funding source, must be for relevant and appropriate operating expenses</w:t>
                </w:r>
                <w:r w:rsidR="007150C7" w:rsidRPr="00FE5EFA">
                  <w:rPr>
                    <w:rFonts w:eastAsia="Times New Roman"/>
                    <w:color w:val="2C2A29"/>
                    <w:sz w:val="24"/>
                    <w:szCs w:val="24"/>
                  </w:rPr>
                  <w:t xml:space="preserve">; and </w:t>
                </w:r>
                <w:r w:rsidR="008341D0" w:rsidRPr="00FE5EFA">
                  <w:rPr>
                    <w:rFonts w:eastAsia="Times New Roman"/>
                    <w:color w:val="2C2A29"/>
                    <w:sz w:val="24"/>
                    <w:szCs w:val="24"/>
                  </w:rPr>
                  <w:t>funds may not be expended for the personal convenience or preference of employees</w:t>
                </w:r>
                <w:r w:rsidRPr="00FE5EFA">
                  <w:rPr>
                    <w:rFonts w:eastAsia="Times New Roman"/>
                    <w:color w:val="2C2A29"/>
                    <w:sz w:val="24"/>
                    <w:szCs w:val="24"/>
                  </w:rPr>
                  <w:t>.  Internal university purchases (interdepartmental transactions) are subject to the same expenditure guidelines as other expenditures.</w:t>
                </w:r>
              </w:p>
              <w:p w14:paraId="55574627" w14:textId="1441F407"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color w:val="2C2A29"/>
                    <w:sz w:val="24"/>
                    <w:szCs w:val="24"/>
                  </w:rPr>
                  <w:t xml:space="preserve">Funds </w:t>
                </w:r>
                <w:r w:rsidR="00AE6205" w:rsidRPr="00FE5EFA">
                  <w:rPr>
                    <w:rFonts w:eastAsia="Times New Roman"/>
                    <w:color w:val="2C2A29"/>
                    <w:sz w:val="24"/>
                    <w:szCs w:val="24"/>
                  </w:rPr>
                  <w:t xml:space="preserve">may not </w:t>
                </w:r>
                <w:r w:rsidRPr="00FE5EFA">
                  <w:rPr>
                    <w:rFonts w:eastAsia="Times New Roman"/>
                    <w:color w:val="2C2A29"/>
                    <w:sz w:val="24"/>
                    <w:szCs w:val="24"/>
                  </w:rPr>
                  <w:t>be expended for the personal convenience or preference of employees</w:t>
                </w:r>
                <w:r w:rsidR="00B626C4" w:rsidRPr="00FE5EFA">
                  <w:rPr>
                    <w:rFonts w:eastAsia="Times New Roman"/>
                    <w:color w:val="2C2A29"/>
                    <w:sz w:val="24"/>
                    <w:szCs w:val="24"/>
                  </w:rPr>
                  <w:t>,</w:t>
                </w:r>
                <w:r w:rsidRPr="00FE5EFA">
                  <w:rPr>
                    <w:rFonts w:eastAsia="Times New Roman"/>
                    <w:color w:val="2C2A29"/>
                    <w:sz w:val="24"/>
                    <w:szCs w:val="24"/>
                  </w:rPr>
                  <w:t xml:space="preserve"> and </w:t>
                </w:r>
                <w:r w:rsidR="00B626C4" w:rsidRPr="00FE5EFA">
                  <w:rPr>
                    <w:rFonts w:eastAsia="Times New Roman"/>
                    <w:color w:val="2C2A29"/>
                    <w:sz w:val="24"/>
                    <w:szCs w:val="24"/>
                  </w:rPr>
                  <w:t xml:space="preserve">only those expenditures that </w:t>
                </w:r>
                <w:r w:rsidRPr="00FE5EFA">
                  <w:rPr>
                    <w:rFonts w:eastAsia="Times New Roman"/>
                    <w:color w:val="2C2A29"/>
                    <w:sz w:val="24"/>
                    <w:szCs w:val="24"/>
                  </w:rPr>
                  <w:t xml:space="preserve">are necessary </w:t>
                </w:r>
                <w:proofErr w:type="gramStart"/>
                <w:r w:rsidRPr="00FE5EFA">
                  <w:rPr>
                    <w:rFonts w:eastAsia="Times New Roman"/>
                    <w:color w:val="2C2A29"/>
                    <w:sz w:val="24"/>
                    <w:szCs w:val="24"/>
                  </w:rPr>
                  <w:t>in order for</w:t>
                </w:r>
                <w:proofErr w:type="gramEnd"/>
                <w:r w:rsidRPr="00FE5EFA">
                  <w:rPr>
                    <w:rFonts w:eastAsia="Times New Roman"/>
                    <w:color w:val="2C2A29"/>
                    <w:sz w:val="24"/>
                    <w:szCs w:val="24"/>
                  </w:rPr>
                  <w:t xml:space="preserve"> the University to carry out its statutory duties</w:t>
                </w:r>
                <w:r w:rsidR="00B626C4" w:rsidRPr="00FE5EFA">
                  <w:rPr>
                    <w:rFonts w:eastAsia="Times New Roman"/>
                    <w:color w:val="2C2A29"/>
                    <w:sz w:val="24"/>
                    <w:szCs w:val="24"/>
                  </w:rPr>
                  <w:t xml:space="preserve"> are allowable</w:t>
                </w:r>
                <w:r w:rsidRPr="00FE5EFA">
                  <w:rPr>
                    <w:rFonts w:eastAsia="Times New Roman"/>
                    <w:color w:val="2C2A29"/>
                    <w:sz w:val="24"/>
                    <w:szCs w:val="24"/>
                  </w:rPr>
                  <w:t xml:space="preserve">.  </w:t>
                </w:r>
              </w:p>
              <w:p w14:paraId="102B2900" w14:textId="4F690110" w:rsidR="009C4522" w:rsidRPr="00FE5EFA" w:rsidRDefault="009C4522" w:rsidP="00B5560D">
                <w:pPr>
                  <w:shd w:val="clear" w:color="auto" w:fill="F2F2F2"/>
                  <w:spacing w:after="150"/>
                  <w:ind w:left="1065"/>
                  <w:rPr>
                    <w:rFonts w:eastAsia="Times New Roman"/>
                    <w:color w:val="2C2A29"/>
                    <w:sz w:val="24"/>
                    <w:szCs w:val="24"/>
                  </w:rPr>
                </w:pPr>
                <w:bookmarkStart w:id="15" w:name="_Hlk47955416"/>
                <w:r w:rsidRPr="00FE5EFA">
                  <w:rPr>
                    <w:rFonts w:eastAsia="Times New Roman"/>
                    <w:color w:val="2C2A29"/>
                    <w:sz w:val="24"/>
                    <w:szCs w:val="24"/>
                  </w:rPr>
                  <w:t xml:space="preserve">Provided below is an overview of allowable expenditures based on funding source.  Please refer to the </w:t>
                </w:r>
                <w:hyperlink r:id="rId13" w:tgtFrame="_blank" w:history="1">
                  <w:r w:rsidRPr="00FE5EFA">
                    <w:rPr>
                      <w:rFonts w:eastAsia="Times New Roman"/>
                      <w:color w:val="000000" w:themeColor="text1"/>
                      <w:sz w:val="24"/>
                      <w:szCs w:val="24"/>
                    </w:rPr>
                    <w:t>University’s Expenditure Guidelines</w:t>
                  </w:r>
                  <w:r w:rsidRPr="00FE5EFA">
                    <w:rPr>
                      <w:rFonts w:eastAsia="Times New Roman"/>
                      <w:b/>
                      <w:bCs/>
                      <w:color w:val="782F40"/>
                      <w:sz w:val="24"/>
                      <w:szCs w:val="24"/>
                    </w:rPr>
                    <w:t> </w:t>
                  </w:r>
                </w:hyperlink>
                <w:r w:rsidRPr="00FE5EFA">
                  <w:rPr>
                    <w:rFonts w:eastAsia="Times New Roman"/>
                    <w:color w:val="2C2A29"/>
                    <w:sz w:val="24"/>
                    <w:szCs w:val="24"/>
                  </w:rPr>
                  <w:t xml:space="preserve">for specific allowable expenditures.  The </w:t>
                </w:r>
                <w:r w:rsidR="00F817B9" w:rsidRPr="00FE5EFA">
                  <w:rPr>
                    <w:rFonts w:eastAsia="Times New Roman"/>
                    <w:color w:val="2C2A29"/>
                    <w:sz w:val="24"/>
                    <w:szCs w:val="24"/>
                  </w:rPr>
                  <w:t>guidelines may</w:t>
                </w:r>
                <w:r w:rsidRPr="00FE5EFA">
                  <w:rPr>
                    <w:rFonts w:eastAsia="Times New Roman"/>
                    <w:color w:val="2C2A29"/>
                    <w:sz w:val="24"/>
                    <w:szCs w:val="24"/>
                  </w:rPr>
                  <w:t xml:space="preserve"> not cover all possible situations</w:t>
                </w:r>
                <w:r w:rsidR="00F817B9" w:rsidRPr="00FE5EFA">
                  <w:rPr>
                    <w:rFonts w:eastAsia="Times New Roman"/>
                    <w:color w:val="2C2A29"/>
                    <w:sz w:val="24"/>
                    <w:szCs w:val="24"/>
                  </w:rPr>
                  <w:t xml:space="preserve">. </w:t>
                </w:r>
                <w:r w:rsidRPr="00FE5EFA">
                  <w:rPr>
                    <w:rFonts w:eastAsia="Times New Roman"/>
                    <w:color w:val="2C2A29"/>
                    <w:sz w:val="24"/>
                    <w:szCs w:val="24"/>
                  </w:rPr>
                  <w:t xml:space="preserve"> </w:t>
                </w:r>
                <w:r w:rsidR="00F817B9" w:rsidRPr="00FE5EFA">
                  <w:rPr>
                    <w:rFonts w:eastAsia="Times New Roman"/>
                    <w:color w:val="2C2A29"/>
                    <w:sz w:val="24"/>
                    <w:szCs w:val="24"/>
                  </w:rPr>
                  <w:t xml:space="preserve">Items not included </w:t>
                </w:r>
                <w:r w:rsidR="006405CB" w:rsidRPr="00FE5EFA">
                  <w:rPr>
                    <w:rFonts w:eastAsia="Times New Roman"/>
                    <w:color w:val="2C2A29"/>
                    <w:sz w:val="24"/>
                    <w:szCs w:val="24"/>
                  </w:rPr>
                  <w:t>in the guidelines may</w:t>
                </w:r>
                <w:r w:rsidRPr="00FE5EFA">
                  <w:rPr>
                    <w:rFonts w:eastAsia="Times New Roman"/>
                    <w:color w:val="2C2A29"/>
                    <w:sz w:val="24"/>
                    <w:szCs w:val="24"/>
                  </w:rPr>
                  <w:t xml:space="preserve"> need to be addressed on a case-by-case basis through consultation with Disbursement Services, Sponsored Research</w:t>
                </w:r>
                <w:r w:rsidR="006405CB" w:rsidRPr="00FE5EFA">
                  <w:rPr>
                    <w:rFonts w:eastAsia="Times New Roman"/>
                    <w:color w:val="2C2A29"/>
                    <w:sz w:val="24"/>
                    <w:szCs w:val="24"/>
                  </w:rPr>
                  <w:t>,</w:t>
                </w:r>
                <w:r w:rsidRPr="00FE5EFA">
                  <w:rPr>
                    <w:rFonts w:eastAsia="Times New Roman"/>
                    <w:color w:val="2C2A29"/>
                    <w:sz w:val="24"/>
                    <w:szCs w:val="24"/>
                  </w:rPr>
                  <w:t xml:space="preserve"> or the applicable DSO.</w:t>
                </w:r>
              </w:p>
              <w:bookmarkEnd w:id="15"/>
              <w:p w14:paraId="62D0AEE1" w14:textId="2091BC56"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i/>
                    <w:iCs/>
                    <w:color w:val="2C2A29"/>
                    <w:sz w:val="24"/>
                    <w:szCs w:val="24"/>
                  </w:rPr>
                  <w:t>Education and General (E&amp;G) Funds</w:t>
                </w:r>
                <w:r w:rsidRPr="00FE5EFA">
                  <w:rPr>
                    <w:rFonts w:eastAsia="Times New Roman"/>
                    <w:color w:val="2C2A29"/>
                    <w:sz w:val="24"/>
                    <w:szCs w:val="24"/>
                  </w:rPr>
                  <w:t xml:space="preserve"> – E&amp;G funds are appropriated by the state legislature.  State appropriations must be expended in accordance with the </w:t>
                </w:r>
                <w:hyperlink r:id="rId14" w:tgtFrame="_blank" w:history="1">
                  <w:r w:rsidR="004F3C8C" w:rsidRPr="00EE77E6">
                    <w:rPr>
                      <w:rFonts w:eastAsia="Times New Roman"/>
                      <w:color w:val="000000" w:themeColor="text1"/>
                      <w:sz w:val="24"/>
                      <w:szCs w:val="24"/>
                    </w:rPr>
                    <w:t>Florida Department of Financial Services Reference Guide for State Expenditures</w:t>
                  </w:r>
                </w:hyperlink>
                <w:r w:rsidRPr="00EE77E6">
                  <w:rPr>
                    <w:rFonts w:eastAsia="Times New Roman"/>
                    <w:color w:val="000000" w:themeColor="text1"/>
                    <w:sz w:val="24"/>
                    <w:szCs w:val="24"/>
                  </w:rPr>
                  <w:t>.</w:t>
                </w:r>
                <w:r w:rsidRPr="00FE5EFA">
                  <w:rPr>
                    <w:rFonts w:eastAsia="Times New Roman"/>
                    <w:color w:val="2C2A29"/>
                    <w:sz w:val="24"/>
                    <w:szCs w:val="24"/>
                  </w:rPr>
                  <w:t>  It</w:t>
                </w:r>
                <w:r w:rsidR="00353BE6" w:rsidRPr="00FE5EFA">
                  <w:rPr>
                    <w:rFonts w:eastAsia="Times New Roman"/>
                    <w:color w:val="2C2A29"/>
                    <w:sz w:val="24"/>
                    <w:szCs w:val="24"/>
                  </w:rPr>
                  <w:t xml:space="preserve"> is</w:t>
                </w:r>
                <w:r w:rsidRPr="00FE5EFA">
                  <w:rPr>
                    <w:rFonts w:eastAsia="Times New Roman"/>
                    <w:color w:val="2C2A29"/>
                    <w:sz w:val="24"/>
                    <w:szCs w:val="24"/>
                  </w:rPr>
                  <w:t xml:space="preserve"> the policy of the </w:t>
                </w:r>
                <w:r w:rsidR="00353BE6" w:rsidRPr="00FE5EFA">
                  <w:rPr>
                    <w:rFonts w:eastAsia="Times New Roman"/>
                    <w:color w:val="2C2A29"/>
                    <w:sz w:val="24"/>
                    <w:szCs w:val="24"/>
                  </w:rPr>
                  <w:t xml:space="preserve">Florida </w:t>
                </w:r>
                <w:r w:rsidRPr="00FE5EFA">
                  <w:rPr>
                    <w:rFonts w:eastAsia="Times New Roman"/>
                    <w:color w:val="2C2A29"/>
                    <w:sz w:val="24"/>
                    <w:szCs w:val="24"/>
                  </w:rPr>
                  <w:t>Department of Financial Services that an expenditure of E&amp;G funds must be authorized by law and the expenditure must meet the intent and spirit of the law authorizing the payment. </w:t>
                </w:r>
                <w:r w:rsidR="00091D79" w:rsidRPr="00FE5EFA">
                  <w:rPr>
                    <w:rFonts w:eastAsia="Times New Roman"/>
                    <w:color w:val="2C2A29"/>
                    <w:sz w:val="24"/>
                    <w:szCs w:val="24"/>
                  </w:rPr>
                  <w:t>Additionally, the expenditure</w:t>
                </w:r>
                <w:r w:rsidRPr="00FE5EFA">
                  <w:rPr>
                    <w:rFonts w:eastAsia="Times New Roman"/>
                    <w:color w:val="2C2A29"/>
                    <w:sz w:val="24"/>
                    <w:szCs w:val="24"/>
                  </w:rPr>
                  <w:t xml:space="preserve"> must result in a direct, specific benefit to the University.</w:t>
                </w:r>
              </w:p>
              <w:p w14:paraId="7AD1CB52" w14:textId="11F2EA37"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i/>
                    <w:iCs/>
                    <w:color w:val="2C2A29"/>
                    <w:sz w:val="24"/>
                    <w:szCs w:val="24"/>
                  </w:rPr>
                  <w:t>Contract and Grant (C&amp;G) Funds</w:t>
                </w:r>
                <w:r w:rsidRPr="00FE5EFA">
                  <w:rPr>
                    <w:rFonts w:eastAsia="Times New Roman"/>
                    <w:color w:val="2C2A29"/>
                    <w:sz w:val="24"/>
                    <w:szCs w:val="24"/>
                  </w:rPr>
                  <w:t> –</w:t>
                </w:r>
                <w:r w:rsidR="003D1A88">
                  <w:rPr>
                    <w:rFonts w:eastAsia="Times New Roman"/>
                    <w:color w:val="2C2A29"/>
                    <w:sz w:val="24"/>
                    <w:szCs w:val="24"/>
                  </w:rPr>
                  <w:t xml:space="preserve"> </w:t>
                </w:r>
                <w:r w:rsidR="008F2614" w:rsidRPr="00FE5EFA">
                  <w:rPr>
                    <w:sz w:val="24"/>
                    <w:szCs w:val="24"/>
                  </w:rPr>
                  <w:t xml:space="preserve">C&amp;G funds originate from external contracts &amp; grants issued to the University to carry out a specific scope of work.  C&amp;G funds can be for research, instructional activities, or other sponsored activities, such as health service projects and community service programs. These funds are generally more restrictive in that expenditures must generally meet the specific budgetary requirements and terms &amp; conditions of the project.  However, such projects may also specify expenditures that would </w:t>
                </w:r>
                <w:r w:rsidR="008F2614" w:rsidRPr="00FE5EFA">
                  <w:rPr>
                    <w:sz w:val="24"/>
                    <w:szCs w:val="24"/>
                  </w:rPr>
                  <w:lastRenderedPageBreak/>
                  <w:t xml:space="preserve">otherwise be unallowable on other University funds, such as gift cards for research participants or food items.  Additionally, recovered indirect costs (or F&amp;A) and retained residual balances are also considered C&amp;G funds.  These funds are discretionary moneys that must follow the E&amp;G expenditure guidelines, with the added caveat that the expenditure must benefit research per Florida Statute 1004.22. </w:t>
                </w:r>
              </w:p>
              <w:p w14:paraId="5D7203F8" w14:textId="4FA90029"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i/>
                    <w:iCs/>
                    <w:color w:val="2C2A29"/>
                    <w:sz w:val="24"/>
                    <w:szCs w:val="24"/>
                  </w:rPr>
                  <w:t>Auxiliary Funds </w:t>
                </w:r>
                <w:r w:rsidRPr="00FE5EFA">
                  <w:rPr>
                    <w:rFonts w:eastAsia="Times New Roman"/>
                    <w:color w:val="2C2A29"/>
                    <w:sz w:val="24"/>
                    <w:szCs w:val="24"/>
                  </w:rPr>
                  <w:t xml:space="preserve">– Funds generated by an Auxiliary are not appropriated and therefore are not subject to the expenditure guidelines for appropriations set forth by the </w:t>
                </w:r>
                <w:r w:rsidR="00E96D87" w:rsidRPr="00FE5EFA">
                  <w:rPr>
                    <w:rFonts w:eastAsia="Times New Roman"/>
                    <w:color w:val="2C2A29"/>
                    <w:sz w:val="24"/>
                    <w:szCs w:val="24"/>
                  </w:rPr>
                  <w:t xml:space="preserve">Florida </w:t>
                </w:r>
                <w:r w:rsidRPr="00FE5EFA">
                  <w:rPr>
                    <w:rFonts w:eastAsia="Times New Roman"/>
                    <w:color w:val="2C2A29"/>
                    <w:sz w:val="24"/>
                    <w:szCs w:val="24"/>
                  </w:rPr>
                  <w:t>Department of Financial Services.  The department will be given discretion over determining the appropriate programmatic needs and will be required to provide necessary documentation for audit purposes to support all expenditures made by the Auxiliary in compliance with this policy. </w:t>
                </w:r>
              </w:p>
              <w:p w14:paraId="34156BA1" w14:textId="5528EA5D" w:rsidR="009C4522" w:rsidRPr="00FE5EFA" w:rsidRDefault="00B76243" w:rsidP="00B5560D">
                <w:pPr>
                  <w:shd w:val="clear" w:color="auto" w:fill="F2F2F2"/>
                  <w:spacing w:after="150"/>
                  <w:ind w:left="1065"/>
                  <w:rPr>
                    <w:rFonts w:eastAsia="Times New Roman"/>
                    <w:color w:val="2C2A29"/>
                    <w:sz w:val="24"/>
                    <w:szCs w:val="24"/>
                  </w:rPr>
                </w:pPr>
                <w:r w:rsidRPr="00FE5EFA">
                  <w:rPr>
                    <w:rFonts w:eastAsia="Times New Roman"/>
                    <w:i/>
                    <w:iCs/>
                    <w:color w:val="2C2A29"/>
                    <w:sz w:val="24"/>
                    <w:szCs w:val="24"/>
                  </w:rPr>
                  <w:t xml:space="preserve">Designated - </w:t>
                </w:r>
                <w:r w:rsidR="009C4522" w:rsidRPr="00FE5EFA">
                  <w:rPr>
                    <w:rFonts w:eastAsia="Times New Roman"/>
                    <w:i/>
                    <w:iCs/>
                    <w:color w:val="2C2A29"/>
                    <w:sz w:val="24"/>
                    <w:szCs w:val="24"/>
                  </w:rPr>
                  <w:t>Concession Fund </w:t>
                </w:r>
                <w:r w:rsidR="009C4522" w:rsidRPr="00FE5EFA">
                  <w:rPr>
                    <w:rFonts w:eastAsia="Times New Roman"/>
                    <w:color w:val="2C2A29"/>
                    <w:sz w:val="24"/>
                    <w:szCs w:val="24"/>
                  </w:rPr>
                  <w:t>– Receipts generated through vending machine collections are deposited in the Concession Fund.  The funds are allocated to the Vice Presidents at the President’s discretion.  Departments are given discretion over determining the appropriate use and will be required to provide necessary documentation for audit purposes to support expenditures.</w:t>
                </w:r>
                <w:r w:rsidR="001D257D" w:rsidRPr="00FE5EFA">
                  <w:rPr>
                    <w:rFonts w:eastAsia="Times New Roman"/>
                    <w:color w:val="2C2A29"/>
                    <w:sz w:val="24"/>
                    <w:szCs w:val="24"/>
                  </w:rPr>
                  <w:t xml:space="preserve"> The University applies the same expenditure guidelines to </w:t>
                </w:r>
                <w:r w:rsidR="00C149AF" w:rsidRPr="00FE5EFA">
                  <w:rPr>
                    <w:rFonts w:eastAsia="Times New Roman"/>
                    <w:color w:val="2C2A29"/>
                    <w:sz w:val="24"/>
                    <w:szCs w:val="24"/>
                  </w:rPr>
                  <w:t xml:space="preserve">these Concession </w:t>
                </w:r>
                <w:r w:rsidR="001D257D" w:rsidRPr="00FE5EFA">
                  <w:rPr>
                    <w:rFonts w:eastAsia="Times New Roman"/>
                    <w:color w:val="2C2A29"/>
                    <w:sz w:val="24"/>
                    <w:szCs w:val="24"/>
                  </w:rPr>
                  <w:t>funds as it does to Auxiliary funds. </w:t>
                </w:r>
              </w:p>
              <w:p w14:paraId="34CEDB20" w14:textId="7BFEF477" w:rsidR="009C4522" w:rsidRPr="00FE5EFA" w:rsidRDefault="009C4522" w:rsidP="00B5560D">
                <w:pPr>
                  <w:shd w:val="clear" w:color="auto" w:fill="F2F2F2"/>
                  <w:spacing w:after="150"/>
                  <w:ind w:left="1065"/>
                  <w:rPr>
                    <w:rFonts w:eastAsia="Times New Roman"/>
                    <w:color w:val="2C2A29"/>
                    <w:sz w:val="24"/>
                    <w:szCs w:val="24"/>
                  </w:rPr>
                </w:pPr>
                <w:r w:rsidRPr="00FE5EFA">
                  <w:rPr>
                    <w:rFonts w:eastAsia="Times New Roman"/>
                    <w:i/>
                    <w:iCs/>
                    <w:color w:val="2C2A29"/>
                    <w:sz w:val="24"/>
                    <w:szCs w:val="24"/>
                  </w:rPr>
                  <w:t>Designated Funds</w:t>
                </w:r>
                <w:r w:rsidRPr="00FE5EFA">
                  <w:rPr>
                    <w:rFonts w:eastAsia="Times New Roman"/>
                    <w:color w:val="2C2A29"/>
                    <w:sz w:val="24"/>
                    <w:szCs w:val="24"/>
                  </w:rPr>
                  <w:t xml:space="preserve"> – Designated student fees and funds earmarked by the University for a specific purpose are accounted for in the Designated fund group.  These funds are spent in accordance with state legislation, BOG regulations, and University policies.  The University applies the same expenditure guidelines to </w:t>
                </w:r>
                <w:r w:rsidR="00BE67D2" w:rsidRPr="00FE5EFA">
                  <w:rPr>
                    <w:rFonts w:eastAsia="Times New Roman"/>
                    <w:color w:val="2C2A29"/>
                    <w:sz w:val="24"/>
                    <w:szCs w:val="24"/>
                  </w:rPr>
                  <w:t xml:space="preserve">these types of </w:t>
                </w:r>
                <w:r w:rsidRPr="00FE5EFA">
                  <w:rPr>
                    <w:rFonts w:eastAsia="Times New Roman"/>
                    <w:color w:val="2C2A29"/>
                    <w:sz w:val="24"/>
                    <w:szCs w:val="24"/>
                  </w:rPr>
                  <w:t>Designated funds as it does to E&amp;G funds. </w:t>
                </w:r>
              </w:p>
              <w:p w14:paraId="70B89498" w14:textId="3F12051F" w:rsidR="00B6798D" w:rsidRPr="003D1A88" w:rsidRDefault="009C4522" w:rsidP="003D1A88">
                <w:pPr>
                  <w:shd w:val="clear" w:color="auto" w:fill="F2F2F2"/>
                  <w:spacing w:after="150"/>
                  <w:ind w:left="1065"/>
                  <w:rPr>
                    <w:rFonts w:eastAsia="Times New Roman"/>
                    <w:color w:val="2C2A29"/>
                    <w:sz w:val="24"/>
                    <w:szCs w:val="24"/>
                  </w:rPr>
                </w:pPr>
                <w:r w:rsidRPr="00FE5EFA">
                  <w:rPr>
                    <w:rFonts w:eastAsia="Times New Roman"/>
                    <w:i/>
                    <w:iCs/>
                    <w:color w:val="2C2A29"/>
                    <w:sz w:val="24"/>
                    <w:szCs w:val="24"/>
                  </w:rPr>
                  <w:t>Direct Support Organization (DSO) Funds</w:t>
                </w:r>
                <w:r w:rsidRPr="00FE5EFA">
                  <w:rPr>
                    <w:rFonts w:eastAsia="Times New Roman"/>
                    <w:color w:val="2C2A29"/>
                    <w:sz w:val="24"/>
                    <w:szCs w:val="24"/>
                  </w:rPr>
                  <w:t xml:space="preserve"> – </w:t>
                </w:r>
                <w:r w:rsidR="006B6786" w:rsidRPr="00FE5EFA">
                  <w:rPr>
                    <w:rFonts w:eastAsia="Times New Roman"/>
                    <w:color w:val="2C2A29"/>
                    <w:sz w:val="24"/>
                    <w:szCs w:val="24"/>
                  </w:rPr>
                  <w:t xml:space="preserve">DSO </w:t>
                </w:r>
                <w:r w:rsidRPr="00FE5EFA">
                  <w:rPr>
                    <w:rFonts w:eastAsia="Times New Roman"/>
                    <w:color w:val="2C2A29"/>
                    <w:sz w:val="24"/>
                    <w:szCs w:val="24"/>
                  </w:rPr>
                  <w:t>funds are spent according to the expenditure guidelines of the applicable DSO.</w:t>
                </w:r>
              </w:p>
            </w:tc>
          </w:sdtContent>
        </w:sdt>
      </w:tr>
      <w:tr w:rsidR="00B6798D" w14:paraId="0AC47AAC" w14:textId="77777777" w:rsidTr="001B60D8">
        <w:trPr>
          <w:trHeight w:val="432"/>
        </w:trPr>
        <w:tc>
          <w:tcPr>
            <w:tcW w:w="485" w:type="dxa"/>
            <w:vAlign w:val="center"/>
          </w:tcPr>
          <w:p w14:paraId="78F61EA1" w14:textId="77777777" w:rsidR="00B6798D" w:rsidRDefault="00B6798D" w:rsidP="00C911D9"/>
        </w:tc>
        <w:tc>
          <w:tcPr>
            <w:tcW w:w="9019" w:type="dxa"/>
            <w:gridSpan w:val="6"/>
            <w:vAlign w:val="center"/>
          </w:tcPr>
          <w:p w14:paraId="15020D4A" w14:textId="77777777" w:rsidR="00B6798D" w:rsidRPr="00FE5EFA" w:rsidRDefault="00B6798D" w:rsidP="00C911D9">
            <w:pPr>
              <w:rPr>
                <w:sz w:val="24"/>
                <w:szCs w:val="24"/>
              </w:rPr>
            </w:pPr>
          </w:p>
        </w:tc>
      </w:tr>
      <w:tr w:rsidR="00B6798D" w14:paraId="28E354E1" w14:textId="77777777" w:rsidTr="00A9711A">
        <w:trPr>
          <w:trHeight w:val="144"/>
        </w:trPr>
        <w:tc>
          <w:tcPr>
            <w:tcW w:w="485" w:type="dxa"/>
            <w:vAlign w:val="center"/>
          </w:tcPr>
          <w:p w14:paraId="2EA2C119" w14:textId="77777777" w:rsidR="00B6798D" w:rsidRPr="001B60D8" w:rsidRDefault="001B60D8" w:rsidP="001B60D8">
            <w:pPr>
              <w:pStyle w:val="PolicyTitle"/>
            </w:pPr>
            <w:r w:rsidRPr="001B60D8">
              <w:t>III.</w:t>
            </w:r>
          </w:p>
        </w:tc>
        <w:tc>
          <w:tcPr>
            <w:tcW w:w="9019" w:type="dxa"/>
            <w:gridSpan w:val="6"/>
            <w:vAlign w:val="center"/>
          </w:tcPr>
          <w:p w14:paraId="34D6A0CB" w14:textId="77777777" w:rsidR="00B6798D" w:rsidRPr="00FE5EFA" w:rsidRDefault="00B6798D" w:rsidP="001B60D8">
            <w:pPr>
              <w:pStyle w:val="PolicyTitle"/>
              <w:rPr>
                <w:szCs w:val="24"/>
              </w:rPr>
            </w:pPr>
            <w:r w:rsidRPr="00FE5EFA">
              <w:rPr>
                <w:szCs w:val="24"/>
              </w:rPr>
              <w:t>LEGAL SUPPORT, JUSTIFICATION, AND REVIEW OF THIS POLICY</w:t>
            </w:r>
          </w:p>
        </w:tc>
      </w:tr>
      <w:tr w:rsidR="00B6798D" w14:paraId="2D238A50" w14:textId="77777777" w:rsidTr="001B60D8">
        <w:trPr>
          <w:trHeight w:val="432"/>
        </w:trPr>
        <w:tc>
          <w:tcPr>
            <w:tcW w:w="485" w:type="dxa"/>
            <w:vAlign w:val="center"/>
          </w:tcPr>
          <w:p w14:paraId="343BFA01" w14:textId="77777777" w:rsidR="00B6798D" w:rsidRDefault="00B6798D" w:rsidP="00C911D9"/>
        </w:tc>
        <w:sdt>
          <w:sdtPr>
            <w:rPr>
              <w:sz w:val="24"/>
              <w:szCs w:val="24"/>
            </w:rPr>
            <w:alias w:val="Supporting Documentation"/>
            <w:tag w:val="Supporting Documentation"/>
            <w:id w:val="-1592233573"/>
            <w:placeholder>
              <w:docPart w:val="CC4D74B8B2FE4F389DCE112C51763173"/>
            </w:placeholder>
          </w:sdtPr>
          <w:sdtEndPr/>
          <w:sdtContent>
            <w:tc>
              <w:tcPr>
                <w:tcW w:w="9019" w:type="dxa"/>
                <w:gridSpan w:val="6"/>
                <w:vAlign w:val="center"/>
              </w:tcPr>
              <w:p w14:paraId="1DF58C6F" w14:textId="77777777" w:rsidR="009C4522" w:rsidRPr="00FE5EFA" w:rsidRDefault="009C4522" w:rsidP="009C4522">
                <w:pPr>
                  <w:shd w:val="clear" w:color="auto" w:fill="F2F2F2"/>
                  <w:spacing w:after="150"/>
                  <w:rPr>
                    <w:rFonts w:eastAsia="Times New Roman"/>
                    <w:color w:val="2C2A29"/>
                    <w:sz w:val="24"/>
                    <w:szCs w:val="24"/>
                  </w:rPr>
                </w:pPr>
                <w:r w:rsidRPr="00FE5EFA">
                  <w:rPr>
                    <w:rFonts w:eastAsia="Times New Roman"/>
                    <w:b/>
                    <w:bCs/>
                    <w:color w:val="2C2A29"/>
                    <w:sz w:val="24"/>
                    <w:szCs w:val="24"/>
                  </w:rPr>
                  <w:t>SPECIFIC AUTHORITY</w:t>
                </w:r>
              </w:p>
              <w:p w14:paraId="509B807E" w14:textId="2F0FF196" w:rsidR="0054024A" w:rsidRPr="00FE5EFA" w:rsidRDefault="00E174D9" w:rsidP="000A6ACB">
                <w:pPr>
                  <w:shd w:val="clear" w:color="auto" w:fill="F2F2F2"/>
                  <w:spacing w:after="0"/>
                  <w:ind w:left="375"/>
                  <w:rPr>
                    <w:sz w:val="24"/>
                    <w:szCs w:val="24"/>
                  </w:rPr>
                </w:pPr>
                <w:r w:rsidRPr="00FE5EFA">
                  <w:rPr>
                    <w:rFonts w:eastAsia="Times New Roman"/>
                    <w:color w:val="2C2A29"/>
                    <w:sz w:val="24"/>
                    <w:szCs w:val="24"/>
                  </w:rPr>
                  <w:t>Florida Statute 215.42</w:t>
                </w:r>
                <w:r w:rsidR="00E373FF" w:rsidRPr="00FE5EFA">
                  <w:rPr>
                    <w:rFonts w:eastAsia="Times New Roman"/>
                    <w:color w:val="2C2A29"/>
                    <w:sz w:val="24"/>
                    <w:szCs w:val="24"/>
                  </w:rPr>
                  <w:t>2</w:t>
                </w:r>
                <w:r w:rsidR="001329CD" w:rsidRPr="00FE5EFA">
                  <w:rPr>
                    <w:rFonts w:eastAsia="Times New Roman"/>
                    <w:color w:val="2C2A29"/>
                    <w:sz w:val="24"/>
                    <w:szCs w:val="24"/>
                  </w:rPr>
                  <w:t>(2)(b)</w:t>
                </w:r>
                <w:r w:rsidR="00E373FF" w:rsidRPr="00FE5EFA">
                  <w:rPr>
                    <w:rFonts w:eastAsia="Times New Roman"/>
                    <w:color w:val="2C2A29"/>
                    <w:sz w:val="24"/>
                    <w:szCs w:val="24"/>
                  </w:rPr>
                  <w:t xml:space="preserve"> </w:t>
                </w:r>
                <w:r w:rsidR="009C4522" w:rsidRPr="00FE5EFA">
                  <w:rPr>
                    <w:rFonts w:eastAsia="Times New Roman"/>
                    <w:color w:val="2C2A29"/>
                    <w:sz w:val="24"/>
                    <w:szCs w:val="24"/>
                  </w:rPr>
                  <w:br/>
                </w:r>
                <w:r w:rsidR="00340AB3" w:rsidRPr="00FE5EFA">
                  <w:rPr>
                    <w:sz w:val="24"/>
                    <w:szCs w:val="24"/>
                  </w:rPr>
                  <w:t>Florida Statute 1004.22</w:t>
                </w:r>
              </w:p>
              <w:p w14:paraId="7BF2D007" w14:textId="11B3C469" w:rsidR="00B6798D" w:rsidRPr="003D1A88" w:rsidRDefault="00852D95" w:rsidP="003D1A88">
                <w:pPr>
                  <w:shd w:val="clear" w:color="auto" w:fill="F2F2F2"/>
                  <w:spacing w:after="150"/>
                  <w:ind w:left="375"/>
                  <w:rPr>
                    <w:rFonts w:eastAsia="Times New Roman"/>
                    <w:color w:val="2C2A29"/>
                    <w:sz w:val="24"/>
                    <w:szCs w:val="24"/>
                  </w:rPr>
                </w:pPr>
                <w:r w:rsidRPr="00FE5EFA">
                  <w:rPr>
                    <w:rFonts w:eastAsia="Times New Roman"/>
                    <w:color w:val="2C2A29"/>
                    <w:sz w:val="24"/>
                    <w:szCs w:val="24"/>
                  </w:rPr>
                  <w:t xml:space="preserve">Florida Statute </w:t>
                </w:r>
                <w:r w:rsidR="009C4522" w:rsidRPr="00FE5EFA">
                  <w:rPr>
                    <w:rFonts w:eastAsia="Times New Roman"/>
                    <w:color w:val="2C2A29"/>
                    <w:sz w:val="24"/>
                    <w:szCs w:val="24"/>
                  </w:rPr>
                  <w:t>55.03(1)</w:t>
                </w:r>
              </w:p>
            </w:tc>
          </w:sdtContent>
        </w:sdt>
      </w:tr>
      <w:tr w:rsidR="005E3BE7" w14:paraId="475DC09B" w14:textId="77777777" w:rsidTr="001B60D8">
        <w:trPr>
          <w:trHeight w:val="20"/>
        </w:trPr>
        <w:tc>
          <w:tcPr>
            <w:tcW w:w="9504" w:type="dxa"/>
            <w:gridSpan w:val="7"/>
            <w:vAlign w:val="center"/>
          </w:tcPr>
          <w:p w14:paraId="477DFCF3" w14:textId="77777777" w:rsidR="005E3BE7" w:rsidRDefault="005E3BE7" w:rsidP="003D1A88"/>
        </w:tc>
      </w:tr>
      <w:tr w:rsidR="009C3DC5" w14:paraId="657BFB9B" w14:textId="77777777" w:rsidTr="00B07653">
        <w:trPr>
          <w:trHeight w:val="1872"/>
        </w:trPr>
        <w:tc>
          <w:tcPr>
            <w:tcW w:w="485" w:type="dxa"/>
            <w:vAlign w:val="bottom"/>
          </w:tcPr>
          <w:p w14:paraId="72B2DB57" w14:textId="77777777" w:rsidR="009C3DC5" w:rsidRDefault="009C3DC5" w:rsidP="003B28F1">
            <w:pPr>
              <w:jc w:val="center"/>
            </w:pPr>
          </w:p>
        </w:tc>
        <w:tc>
          <w:tcPr>
            <w:tcW w:w="5077" w:type="dxa"/>
            <w:gridSpan w:val="3"/>
            <w:tcBorders>
              <w:bottom w:val="single" w:sz="4" w:space="0" w:color="auto"/>
            </w:tcBorders>
            <w:vAlign w:val="bottom"/>
          </w:tcPr>
          <w:p w14:paraId="52957B0F" w14:textId="77777777" w:rsidR="009C3DC5" w:rsidRPr="00B07653" w:rsidRDefault="00B07653" w:rsidP="00CB4BED">
            <w:pPr>
              <w:jc w:val="center"/>
              <w:rPr>
                <w:sz w:val="24"/>
                <w:szCs w:val="24"/>
              </w:rPr>
            </w:pPr>
            <w:r w:rsidRPr="00B07653">
              <w:rPr>
                <w:sz w:val="24"/>
                <w:szCs w:val="24"/>
              </w:rPr>
              <w:t>/s/ Name o</w:t>
            </w:r>
            <w:r w:rsidR="004F1CB3">
              <w:rPr>
                <w:sz w:val="24"/>
                <w:szCs w:val="24"/>
              </w:rPr>
              <w:t>f Approving Official</w:t>
            </w:r>
          </w:p>
        </w:tc>
        <w:tc>
          <w:tcPr>
            <w:tcW w:w="450" w:type="dxa"/>
            <w:vAlign w:val="bottom"/>
          </w:tcPr>
          <w:p w14:paraId="4B9EE25D" w14:textId="77777777" w:rsidR="009C3DC5" w:rsidRDefault="009C3DC5" w:rsidP="003B28F1">
            <w:pPr>
              <w:jc w:val="center"/>
            </w:pPr>
          </w:p>
        </w:tc>
        <w:tc>
          <w:tcPr>
            <w:tcW w:w="2700" w:type="dxa"/>
            <w:vAlign w:val="bottom"/>
          </w:tcPr>
          <w:p w14:paraId="295EE38D" w14:textId="77777777" w:rsidR="009C3DC5" w:rsidRDefault="009C3DC5" w:rsidP="00B07653"/>
        </w:tc>
        <w:tc>
          <w:tcPr>
            <w:tcW w:w="792" w:type="dxa"/>
            <w:vAlign w:val="bottom"/>
          </w:tcPr>
          <w:p w14:paraId="384C62ED" w14:textId="77777777" w:rsidR="009C3DC5" w:rsidRDefault="009C3DC5" w:rsidP="003B28F1">
            <w:pPr>
              <w:jc w:val="center"/>
            </w:pPr>
          </w:p>
        </w:tc>
      </w:tr>
      <w:tr w:rsidR="009C3DC5" w14:paraId="6D0A0640" w14:textId="77777777" w:rsidTr="00AE3E5F">
        <w:tc>
          <w:tcPr>
            <w:tcW w:w="485" w:type="dxa"/>
            <w:vAlign w:val="center"/>
          </w:tcPr>
          <w:p w14:paraId="60705D85" w14:textId="77777777" w:rsidR="009C3DC5" w:rsidRPr="003B28F1" w:rsidRDefault="009C3DC5" w:rsidP="003B28F1">
            <w:pPr>
              <w:jc w:val="center"/>
              <w:rPr>
                <w:sz w:val="18"/>
                <w:szCs w:val="18"/>
              </w:rPr>
            </w:pPr>
          </w:p>
        </w:tc>
        <w:tc>
          <w:tcPr>
            <w:tcW w:w="5077" w:type="dxa"/>
            <w:gridSpan w:val="3"/>
            <w:tcBorders>
              <w:top w:val="single" w:sz="4" w:space="0" w:color="auto"/>
            </w:tcBorders>
          </w:tcPr>
          <w:p w14:paraId="51C0ACF4" w14:textId="77777777" w:rsidR="00AE3E5F" w:rsidRPr="00C27FC3" w:rsidRDefault="00B07653" w:rsidP="00AE3E5F">
            <w:pPr>
              <w:jc w:val="center"/>
              <w:rPr>
                <w:sz w:val="24"/>
                <w:szCs w:val="24"/>
              </w:rPr>
            </w:pPr>
            <w:r>
              <w:rPr>
                <w:sz w:val="18"/>
                <w:szCs w:val="18"/>
              </w:rPr>
              <w:t xml:space="preserve"> </w:t>
            </w:r>
            <w:r w:rsidR="00AE3E5F" w:rsidRPr="00C27FC3">
              <w:rPr>
                <w:sz w:val="24"/>
                <w:szCs w:val="24"/>
              </w:rPr>
              <w:t>[</w:t>
            </w:r>
            <w:r w:rsidRPr="00C27FC3">
              <w:rPr>
                <w:sz w:val="24"/>
                <w:szCs w:val="24"/>
              </w:rPr>
              <w:t xml:space="preserve">Proof of </w:t>
            </w:r>
            <w:r w:rsidR="00AE3E5F" w:rsidRPr="00C27FC3">
              <w:rPr>
                <w:sz w:val="24"/>
                <w:szCs w:val="24"/>
              </w:rPr>
              <w:t>approval retained in file]</w:t>
            </w:r>
          </w:p>
        </w:tc>
        <w:tc>
          <w:tcPr>
            <w:tcW w:w="450" w:type="dxa"/>
            <w:vAlign w:val="center"/>
          </w:tcPr>
          <w:p w14:paraId="67B7ED39" w14:textId="77777777" w:rsidR="009C3DC5" w:rsidRPr="003B28F1" w:rsidRDefault="009C3DC5" w:rsidP="003B28F1">
            <w:pPr>
              <w:jc w:val="center"/>
              <w:rPr>
                <w:sz w:val="18"/>
                <w:szCs w:val="18"/>
              </w:rPr>
            </w:pPr>
          </w:p>
        </w:tc>
        <w:tc>
          <w:tcPr>
            <w:tcW w:w="2700" w:type="dxa"/>
          </w:tcPr>
          <w:p w14:paraId="161482B8" w14:textId="77777777" w:rsidR="009C3DC5" w:rsidRPr="003B28F1" w:rsidRDefault="009C3DC5" w:rsidP="00AE3E5F">
            <w:pPr>
              <w:jc w:val="center"/>
              <w:rPr>
                <w:sz w:val="18"/>
                <w:szCs w:val="18"/>
              </w:rPr>
            </w:pPr>
          </w:p>
        </w:tc>
        <w:tc>
          <w:tcPr>
            <w:tcW w:w="792" w:type="dxa"/>
            <w:vAlign w:val="center"/>
          </w:tcPr>
          <w:p w14:paraId="2BE78C9C" w14:textId="77777777" w:rsidR="009C3DC5" w:rsidRPr="003B28F1" w:rsidRDefault="009C3DC5" w:rsidP="003B28F1">
            <w:pPr>
              <w:jc w:val="center"/>
              <w:rPr>
                <w:sz w:val="18"/>
                <w:szCs w:val="18"/>
              </w:rPr>
            </w:pPr>
          </w:p>
        </w:tc>
      </w:tr>
    </w:tbl>
    <w:p w14:paraId="349EAD54" w14:textId="77777777" w:rsidR="00AB7758" w:rsidRPr="00AB7758" w:rsidRDefault="00AB7758"/>
    <w:sectPr w:rsidR="00AB7758" w:rsidRPr="00AB7758" w:rsidSect="00264AC9">
      <w:headerReference w:type="default" r:id="rId15"/>
      <w:footerReference w:type="default" r:id="rId16"/>
      <w:pgSz w:w="12240" w:h="15840"/>
      <w:pgMar w:top="720" w:right="1440" w:bottom="72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7C9E" w14:textId="77777777" w:rsidR="00F712F1" w:rsidRDefault="00F712F1" w:rsidP="00D03114">
      <w:r>
        <w:separator/>
      </w:r>
    </w:p>
  </w:endnote>
  <w:endnote w:type="continuationSeparator" w:id="0">
    <w:p w14:paraId="7567D81E" w14:textId="77777777" w:rsidR="00F712F1" w:rsidRDefault="00F712F1" w:rsidP="00D0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586"/>
      <w:gridCol w:w="4842"/>
    </w:tblGrid>
    <w:tr w:rsidR="00D03114" w14:paraId="4955CF82" w14:textId="77777777" w:rsidTr="00010977">
      <w:tc>
        <w:tcPr>
          <w:tcW w:w="3192" w:type="dxa"/>
        </w:tcPr>
        <w:p w14:paraId="5A119F42" w14:textId="77777777" w:rsidR="00D03114" w:rsidRPr="00D03114" w:rsidRDefault="00D03114" w:rsidP="00010977">
          <w:pPr>
            <w:pStyle w:val="Footer"/>
            <w:rPr>
              <w:color w:val="808080" w:themeColor="background1" w:themeShade="80"/>
              <w:sz w:val="16"/>
              <w:szCs w:val="16"/>
            </w:rPr>
          </w:pPr>
          <w:r w:rsidRPr="00D03114">
            <w:rPr>
              <w:color w:val="808080" w:themeColor="background1" w:themeShade="80"/>
              <w:sz w:val="16"/>
              <w:szCs w:val="16"/>
            </w:rPr>
            <w:t>©</w:t>
          </w:r>
          <w:r w:rsidR="00010977">
            <w:rPr>
              <w:color w:val="808080" w:themeColor="background1" w:themeShade="80"/>
              <w:sz w:val="16"/>
              <w:szCs w:val="16"/>
            </w:rPr>
            <w:t xml:space="preserve"> 2015</w:t>
          </w:r>
          <w:r w:rsidRPr="00D03114">
            <w:rPr>
              <w:color w:val="808080" w:themeColor="background1" w:themeShade="80"/>
              <w:sz w:val="16"/>
              <w:szCs w:val="16"/>
            </w:rPr>
            <w:t xml:space="preserve"> Florida State University</w:t>
          </w:r>
        </w:p>
      </w:tc>
      <w:tc>
        <w:tcPr>
          <w:tcW w:w="2586" w:type="dxa"/>
        </w:tcPr>
        <w:p w14:paraId="711795CB" w14:textId="77777777" w:rsidR="00D03114" w:rsidRPr="00D03114" w:rsidRDefault="00D03114" w:rsidP="00010977">
          <w:pPr>
            <w:pStyle w:val="Footer"/>
            <w:jc w:val="center"/>
            <w:rPr>
              <w:color w:val="808080" w:themeColor="background1" w:themeShade="80"/>
              <w:sz w:val="16"/>
              <w:szCs w:val="16"/>
            </w:rPr>
          </w:pPr>
        </w:p>
      </w:tc>
      <w:tc>
        <w:tcPr>
          <w:tcW w:w="4842" w:type="dxa"/>
        </w:tcPr>
        <w:p w14:paraId="30DA7F63" w14:textId="3984EE7F" w:rsidR="00010977" w:rsidRPr="00D03114" w:rsidRDefault="00010977" w:rsidP="00010977">
          <w:pPr>
            <w:pStyle w:val="Footer"/>
            <w:jc w:val="right"/>
            <w:rPr>
              <w:color w:val="808080" w:themeColor="background1" w:themeShade="80"/>
              <w:sz w:val="16"/>
              <w:szCs w:val="16"/>
            </w:rPr>
          </w:pPr>
          <w:r w:rsidRPr="00010977">
            <w:rPr>
              <w:color w:val="808080" w:themeColor="background1" w:themeShade="80"/>
              <w:sz w:val="16"/>
              <w:szCs w:val="16"/>
            </w:rPr>
            <w:fldChar w:fldCharType="begin"/>
          </w:r>
          <w:r w:rsidRPr="00010977">
            <w:rPr>
              <w:color w:val="808080" w:themeColor="background1" w:themeShade="80"/>
              <w:sz w:val="16"/>
              <w:szCs w:val="16"/>
            </w:rPr>
            <w:instrText xml:space="preserve"> PAGE   \* MERGEFORMAT </w:instrText>
          </w:r>
          <w:r w:rsidRPr="00010977">
            <w:rPr>
              <w:color w:val="808080" w:themeColor="background1" w:themeShade="80"/>
              <w:sz w:val="16"/>
              <w:szCs w:val="16"/>
            </w:rPr>
            <w:fldChar w:fldCharType="separate"/>
          </w:r>
          <w:r w:rsidR="006D3AEE" w:rsidRPr="006D3AEE">
            <w:rPr>
              <w:b/>
              <w:bCs/>
              <w:noProof/>
              <w:color w:val="808080" w:themeColor="background1" w:themeShade="80"/>
              <w:sz w:val="16"/>
              <w:szCs w:val="16"/>
            </w:rPr>
            <w:t>9</w:t>
          </w:r>
          <w:r w:rsidRPr="00010977">
            <w:rPr>
              <w:b/>
              <w:bCs/>
              <w:noProof/>
              <w:color w:val="808080" w:themeColor="background1" w:themeShade="80"/>
              <w:sz w:val="16"/>
              <w:szCs w:val="16"/>
            </w:rPr>
            <w:fldChar w:fldCharType="end"/>
          </w:r>
          <w:r w:rsidRPr="00010977">
            <w:rPr>
              <w:b/>
              <w:bCs/>
              <w:color w:val="808080" w:themeColor="background1" w:themeShade="80"/>
              <w:sz w:val="16"/>
              <w:szCs w:val="16"/>
            </w:rPr>
            <w:t xml:space="preserve"> </w:t>
          </w:r>
          <w:r w:rsidRPr="00010977">
            <w:rPr>
              <w:color w:val="808080" w:themeColor="background1" w:themeShade="80"/>
              <w:sz w:val="16"/>
              <w:szCs w:val="16"/>
            </w:rPr>
            <w:t>|</w:t>
          </w:r>
          <w:r w:rsidRPr="00010977">
            <w:rPr>
              <w:b/>
              <w:bCs/>
              <w:color w:val="808080" w:themeColor="background1" w:themeShade="80"/>
              <w:sz w:val="16"/>
              <w:szCs w:val="16"/>
            </w:rPr>
            <w:t xml:space="preserve"> </w:t>
          </w:r>
          <w:r w:rsidRPr="00010977">
            <w:rPr>
              <w:color w:val="808080" w:themeColor="background1" w:themeShade="80"/>
              <w:spacing w:val="60"/>
              <w:sz w:val="16"/>
              <w:szCs w:val="16"/>
            </w:rPr>
            <w:t>Page</w:t>
          </w:r>
        </w:p>
      </w:tc>
    </w:tr>
  </w:tbl>
  <w:p w14:paraId="7C068032" w14:textId="77777777" w:rsidR="00D03114" w:rsidRDefault="00D03114">
    <w:pPr>
      <w:pStyle w:val="Footer"/>
    </w:pPr>
  </w:p>
  <w:p w14:paraId="2070F36E" w14:textId="77777777" w:rsidR="00D03114" w:rsidRDefault="00D0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08EC" w14:textId="77777777" w:rsidR="00F712F1" w:rsidRDefault="00F712F1" w:rsidP="00D03114">
      <w:r>
        <w:separator/>
      </w:r>
    </w:p>
  </w:footnote>
  <w:footnote w:type="continuationSeparator" w:id="0">
    <w:p w14:paraId="638086F0" w14:textId="77777777" w:rsidR="00F712F1" w:rsidRDefault="00F712F1" w:rsidP="00D0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right w:w="72" w:type="dxa"/>
      </w:tblCellMar>
      <w:tblLook w:val="04A0" w:firstRow="1" w:lastRow="0" w:firstColumn="1" w:lastColumn="0" w:noHBand="0" w:noVBand="1"/>
    </w:tblPr>
    <w:tblGrid>
      <w:gridCol w:w="10170"/>
    </w:tblGrid>
    <w:tr w:rsidR="00E25CCA" w14:paraId="30774F9D" w14:textId="77777777" w:rsidTr="00C72E7E">
      <w:tc>
        <w:tcPr>
          <w:tcW w:w="10170" w:type="dxa"/>
        </w:tcPr>
        <w:p w14:paraId="21756A2F" w14:textId="77777777" w:rsidR="00E25CCA" w:rsidRDefault="00E25CCA">
          <w:pPr>
            <w:pStyle w:val="Header"/>
          </w:pPr>
          <w:r>
            <w:rPr>
              <w:noProof/>
            </w:rPr>
            <w:drawing>
              <wp:inline distT="0" distB="0" distL="0" distR="0" wp14:anchorId="5B564FB9" wp14:editId="193D47D9">
                <wp:extent cx="3543300" cy="924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USig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6204" cy="925197"/>
                        </a:xfrm>
                        <a:prstGeom prst="rect">
                          <a:avLst/>
                        </a:prstGeom>
                      </pic:spPr>
                    </pic:pic>
                  </a:graphicData>
                </a:graphic>
              </wp:inline>
            </w:drawing>
          </w:r>
        </w:p>
      </w:tc>
    </w:tr>
  </w:tbl>
  <w:p w14:paraId="6C35F8E6" w14:textId="77777777" w:rsidR="00E25CCA" w:rsidRDefault="00E25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0A8"/>
    <w:multiLevelType w:val="hybridMultilevel"/>
    <w:tmpl w:val="AA1EE1E4"/>
    <w:lvl w:ilvl="0" w:tplc="7AF474FA">
      <w:start w:val="1"/>
      <w:numFmt w:val="upperLetter"/>
      <w:lvlText w:val="%1."/>
      <w:lvlJc w:val="left"/>
      <w:pPr>
        <w:ind w:left="720" w:hanging="360"/>
      </w:pPr>
      <w:rPr>
        <w:rFonts w:ascii="Times New Roman" w:eastAsiaTheme="minorEastAsia" w:hAnsi="Times New Roman" w:cs="Times New Roman"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818A0"/>
    <w:multiLevelType w:val="hybridMultilevel"/>
    <w:tmpl w:val="4C281DFA"/>
    <w:lvl w:ilvl="0" w:tplc="5DD65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36EF2"/>
    <w:multiLevelType w:val="hybridMultilevel"/>
    <w:tmpl w:val="B2FCE5A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51201"/>
    <w:multiLevelType w:val="hybridMultilevel"/>
    <w:tmpl w:val="6DA02656"/>
    <w:lvl w:ilvl="0" w:tplc="2EE8C0F0">
      <w:start w:val="6"/>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D5857"/>
    <w:multiLevelType w:val="hybridMultilevel"/>
    <w:tmpl w:val="41A82BCC"/>
    <w:lvl w:ilvl="0" w:tplc="F1F00342">
      <w:start w:val="1"/>
      <w:numFmt w:val="upperLetter"/>
      <w:lvlText w:val="%1."/>
      <w:lvlJc w:val="left"/>
      <w:pPr>
        <w:ind w:left="720" w:hanging="360"/>
      </w:pPr>
      <w:rPr>
        <w:rFonts w:eastAsiaTheme="minorEastAsia" w:hint="default"/>
        <w:b/>
        <w:bCs/>
        <w:color w:val="auto"/>
      </w:rPr>
    </w:lvl>
    <w:lvl w:ilvl="1" w:tplc="04090019">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5" w15:restartNumberingAfterBreak="0">
    <w:nsid w:val="58D8131B"/>
    <w:multiLevelType w:val="hybridMultilevel"/>
    <w:tmpl w:val="2F34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C73ED"/>
    <w:multiLevelType w:val="hybridMultilevel"/>
    <w:tmpl w:val="74D69E86"/>
    <w:lvl w:ilvl="0" w:tplc="FA124EE4">
      <w:start w:val="1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1109D"/>
    <w:multiLevelType w:val="hybridMultilevel"/>
    <w:tmpl w:val="F1E8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96"/>
    <w:rsid w:val="000035D2"/>
    <w:rsid w:val="00010977"/>
    <w:rsid w:val="00013420"/>
    <w:rsid w:val="000230ED"/>
    <w:rsid w:val="000272C7"/>
    <w:rsid w:val="00030D4B"/>
    <w:rsid w:val="00040221"/>
    <w:rsid w:val="000617A4"/>
    <w:rsid w:val="00076C95"/>
    <w:rsid w:val="000773C0"/>
    <w:rsid w:val="00082C4C"/>
    <w:rsid w:val="000842A8"/>
    <w:rsid w:val="00091D79"/>
    <w:rsid w:val="000A3A5B"/>
    <w:rsid w:val="000A6ACB"/>
    <w:rsid w:val="000B4537"/>
    <w:rsid w:val="000C2AA7"/>
    <w:rsid w:val="000C36ED"/>
    <w:rsid w:val="000D3470"/>
    <w:rsid w:val="000E227A"/>
    <w:rsid w:val="000E24CF"/>
    <w:rsid w:val="000F6034"/>
    <w:rsid w:val="00103832"/>
    <w:rsid w:val="00104D14"/>
    <w:rsid w:val="001078DB"/>
    <w:rsid w:val="00112267"/>
    <w:rsid w:val="0011517D"/>
    <w:rsid w:val="00120F59"/>
    <w:rsid w:val="001279E1"/>
    <w:rsid w:val="001329CD"/>
    <w:rsid w:val="00133EA3"/>
    <w:rsid w:val="001371BF"/>
    <w:rsid w:val="001445BD"/>
    <w:rsid w:val="00150AF7"/>
    <w:rsid w:val="00152F82"/>
    <w:rsid w:val="0015447F"/>
    <w:rsid w:val="00161C01"/>
    <w:rsid w:val="00192186"/>
    <w:rsid w:val="001922F3"/>
    <w:rsid w:val="00193BAB"/>
    <w:rsid w:val="001A0DD6"/>
    <w:rsid w:val="001A2359"/>
    <w:rsid w:val="001B0CDE"/>
    <w:rsid w:val="001B60D8"/>
    <w:rsid w:val="001C5DAA"/>
    <w:rsid w:val="001C6455"/>
    <w:rsid w:val="001C6778"/>
    <w:rsid w:val="001D257D"/>
    <w:rsid w:val="001D6E2A"/>
    <w:rsid w:val="00207A65"/>
    <w:rsid w:val="002112AA"/>
    <w:rsid w:val="00221BBB"/>
    <w:rsid w:val="00233734"/>
    <w:rsid w:val="0025507B"/>
    <w:rsid w:val="00262903"/>
    <w:rsid w:val="00264AC9"/>
    <w:rsid w:val="00273A4C"/>
    <w:rsid w:val="0027419E"/>
    <w:rsid w:val="002813A8"/>
    <w:rsid w:val="0028772E"/>
    <w:rsid w:val="00293862"/>
    <w:rsid w:val="002A0E1F"/>
    <w:rsid w:val="002A3DBC"/>
    <w:rsid w:val="002A50CD"/>
    <w:rsid w:val="002C406D"/>
    <w:rsid w:val="002D05AA"/>
    <w:rsid w:val="002E6C97"/>
    <w:rsid w:val="002F0590"/>
    <w:rsid w:val="002F78EC"/>
    <w:rsid w:val="00305A86"/>
    <w:rsid w:val="00306CF1"/>
    <w:rsid w:val="00307B51"/>
    <w:rsid w:val="0031164D"/>
    <w:rsid w:val="00312954"/>
    <w:rsid w:val="00316680"/>
    <w:rsid w:val="003202A2"/>
    <w:rsid w:val="00321C46"/>
    <w:rsid w:val="00330A7E"/>
    <w:rsid w:val="00331B26"/>
    <w:rsid w:val="00340AB3"/>
    <w:rsid w:val="00350133"/>
    <w:rsid w:val="00353BE6"/>
    <w:rsid w:val="003640C7"/>
    <w:rsid w:val="00364BBE"/>
    <w:rsid w:val="00390F29"/>
    <w:rsid w:val="00394D5D"/>
    <w:rsid w:val="003B2797"/>
    <w:rsid w:val="003B28F1"/>
    <w:rsid w:val="003B5B46"/>
    <w:rsid w:val="003B7D48"/>
    <w:rsid w:val="003C39E4"/>
    <w:rsid w:val="003C5014"/>
    <w:rsid w:val="003C61F6"/>
    <w:rsid w:val="003C7A4A"/>
    <w:rsid w:val="003D1A88"/>
    <w:rsid w:val="003D44AC"/>
    <w:rsid w:val="003E0CA6"/>
    <w:rsid w:val="00431399"/>
    <w:rsid w:val="00437DF2"/>
    <w:rsid w:val="00451FA1"/>
    <w:rsid w:val="00461D36"/>
    <w:rsid w:val="00464CA3"/>
    <w:rsid w:val="00475775"/>
    <w:rsid w:val="00477FFB"/>
    <w:rsid w:val="00480DB5"/>
    <w:rsid w:val="00482EF8"/>
    <w:rsid w:val="00485840"/>
    <w:rsid w:val="0048618A"/>
    <w:rsid w:val="00493BA7"/>
    <w:rsid w:val="004974EE"/>
    <w:rsid w:val="004A0DC3"/>
    <w:rsid w:val="004B071B"/>
    <w:rsid w:val="004B58D1"/>
    <w:rsid w:val="004B66BA"/>
    <w:rsid w:val="004B6762"/>
    <w:rsid w:val="004C0094"/>
    <w:rsid w:val="004D6DB9"/>
    <w:rsid w:val="004F1CB3"/>
    <w:rsid w:val="004F3C8C"/>
    <w:rsid w:val="004F44AC"/>
    <w:rsid w:val="004F4BF5"/>
    <w:rsid w:val="004F7B74"/>
    <w:rsid w:val="004F7E2E"/>
    <w:rsid w:val="00504A10"/>
    <w:rsid w:val="005052B3"/>
    <w:rsid w:val="005068FD"/>
    <w:rsid w:val="00506CC6"/>
    <w:rsid w:val="00511345"/>
    <w:rsid w:val="00511C66"/>
    <w:rsid w:val="0051311D"/>
    <w:rsid w:val="00513A8B"/>
    <w:rsid w:val="00514295"/>
    <w:rsid w:val="00514A27"/>
    <w:rsid w:val="00516522"/>
    <w:rsid w:val="00522D8D"/>
    <w:rsid w:val="00525E8E"/>
    <w:rsid w:val="0052607C"/>
    <w:rsid w:val="00532DA1"/>
    <w:rsid w:val="005377B4"/>
    <w:rsid w:val="00537864"/>
    <w:rsid w:val="0054024A"/>
    <w:rsid w:val="0054291A"/>
    <w:rsid w:val="00543A49"/>
    <w:rsid w:val="0056041C"/>
    <w:rsid w:val="00580104"/>
    <w:rsid w:val="005821B1"/>
    <w:rsid w:val="00592C22"/>
    <w:rsid w:val="00594C42"/>
    <w:rsid w:val="005A273D"/>
    <w:rsid w:val="005A3205"/>
    <w:rsid w:val="005A3FA1"/>
    <w:rsid w:val="005B31E1"/>
    <w:rsid w:val="005B4CE0"/>
    <w:rsid w:val="005B66EC"/>
    <w:rsid w:val="005D15EC"/>
    <w:rsid w:val="005D55B9"/>
    <w:rsid w:val="005D5F85"/>
    <w:rsid w:val="005E3BE7"/>
    <w:rsid w:val="005F595D"/>
    <w:rsid w:val="006079F3"/>
    <w:rsid w:val="00612342"/>
    <w:rsid w:val="00616847"/>
    <w:rsid w:val="006211BA"/>
    <w:rsid w:val="00623805"/>
    <w:rsid w:val="00630C46"/>
    <w:rsid w:val="00637380"/>
    <w:rsid w:val="006405CB"/>
    <w:rsid w:val="00656C48"/>
    <w:rsid w:val="006764E1"/>
    <w:rsid w:val="00684B48"/>
    <w:rsid w:val="0068719C"/>
    <w:rsid w:val="00691AC9"/>
    <w:rsid w:val="006A1754"/>
    <w:rsid w:val="006A31D2"/>
    <w:rsid w:val="006A4305"/>
    <w:rsid w:val="006A4BEE"/>
    <w:rsid w:val="006A52D4"/>
    <w:rsid w:val="006A6606"/>
    <w:rsid w:val="006B157A"/>
    <w:rsid w:val="006B40AD"/>
    <w:rsid w:val="006B4253"/>
    <w:rsid w:val="006B6786"/>
    <w:rsid w:val="006C3396"/>
    <w:rsid w:val="006C5044"/>
    <w:rsid w:val="006C59A3"/>
    <w:rsid w:val="006D02D1"/>
    <w:rsid w:val="006D3AEE"/>
    <w:rsid w:val="006D79CB"/>
    <w:rsid w:val="006E0BAE"/>
    <w:rsid w:val="006E53D4"/>
    <w:rsid w:val="006F2D90"/>
    <w:rsid w:val="006F3FE8"/>
    <w:rsid w:val="00705258"/>
    <w:rsid w:val="00711C19"/>
    <w:rsid w:val="007150C7"/>
    <w:rsid w:val="00724631"/>
    <w:rsid w:val="007277DB"/>
    <w:rsid w:val="00733B2E"/>
    <w:rsid w:val="0073627D"/>
    <w:rsid w:val="00747424"/>
    <w:rsid w:val="00750675"/>
    <w:rsid w:val="00750D44"/>
    <w:rsid w:val="007521BE"/>
    <w:rsid w:val="0075316E"/>
    <w:rsid w:val="00762996"/>
    <w:rsid w:val="007803E2"/>
    <w:rsid w:val="0078062F"/>
    <w:rsid w:val="007906DC"/>
    <w:rsid w:val="00790A09"/>
    <w:rsid w:val="007963CC"/>
    <w:rsid w:val="007A7EC9"/>
    <w:rsid w:val="007B4723"/>
    <w:rsid w:val="007B5EFF"/>
    <w:rsid w:val="007C0530"/>
    <w:rsid w:val="007C5111"/>
    <w:rsid w:val="007D34BF"/>
    <w:rsid w:val="007E1D9F"/>
    <w:rsid w:val="007F7D46"/>
    <w:rsid w:val="008019F6"/>
    <w:rsid w:val="00813056"/>
    <w:rsid w:val="00817F02"/>
    <w:rsid w:val="00822F15"/>
    <w:rsid w:val="008341D0"/>
    <w:rsid w:val="008356AC"/>
    <w:rsid w:val="008363F6"/>
    <w:rsid w:val="008365C0"/>
    <w:rsid w:val="00843B26"/>
    <w:rsid w:val="00852D95"/>
    <w:rsid w:val="00861BE7"/>
    <w:rsid w:val="008801D1"/>
    <w:rsid w:val="008812CB"/>
    <w:rsid w:val="0088438E"/>
    <w:rsid w:val="0089115C"/>
    <w:rsid w:val="008A096B"/>
    <w:rsid w:val="008A2931"/>
    <w:rsid w:val="008B12F1"/>
    <w:rsid w:val="008B142C"/>
    <w:rsid w:val="008B192A"/>
    <w:rsid w:val="008B53BC"/>
    <w:rsid w:val="008B7125"/>
    <w:rsid w:val="008B7317"/>
    <w:rsid w:val="008C6D76"/>
    <w:rsid w:val="008C7F79"/>
    <w:rsid w:val="008D717A"/>
    <w:rsid w:val="008E5715"/>
    <w:rsid w:val="008F1E65"/>
    <w:rsid w:val="008F2614"/>
    <w:rsid w:val="008F3D50"/>
    <w:rsid w:val="009115F4"/>
    <w:rsid w:val="00913300"/>
    <w:rsid w:val="00913819"/>
    <w:rsid w:val="00917513"/>
    <w:rsid w:val="00924B56"/>
    <w:rsid w:val="00924DAC"/>
    <w:rsid w:val="009258FE"/>
    <w:rsid w:val="009301A6"/>
    <w:rsid w:val="00935A36"/>
    <w:rsid w:val="00941BE0"/>
    <w:rsid w:val="00947438"/>
    <w:rsid w:val="00951EB2"/>
    <w:rsid w:val="009560F4"/>
    <w:rsid w:val="00957485"/>
    <w:rsid w:val="00967AAE"/>
    <w:rsid w:val="00983787"/>
    <w:rsid w:val="0098798A"/>
    <w:rsid w:val="00997633"/>
    <w:rsid w:val="009C2483"/>
    <w:rsid w:val="009C3DC5"/>
    <w:rsid w:val="009C4522"/>
    <w:rsid w:val="009D1BE3"/>
    <w:rsid w:val="009E2425"/>
    <w:rsid w:val="009E5559"/>
    <w:rsid w:val="009F5132"/>
    <w:rsid w:val="009F5817"/>
    <w:rsid w:val="009F707E"/>
    <w:rsid w:val="00A0077E"/>
    <w:rsid w:val="00A02B78"/>
    <w:rsid w:val="00A030CC"/>
    <w:rsid w:val="00A30FE4"/>
    <w:rsid w:val="00A33ECB"/>
    <w:rsid w:val="00A352A0"/>
    <w:rsid w:val="00A353AA"/>
    <w:rsid w:val="00A428CB"/>
    <w:rsid w:val="00A527FB"/>
    <w:rsid w:val="00A5367B"/>
    <w:rsid w:val="00A6235B"/>
    <w:rsid w:val="00A641C1"/>
    <w:rsid w:val="00A672A8"/>
    <w:rsid w:val="00A8522B"/>
    <w:rsid w:val="00A86D3E"/>
    <w:rsid w:val="00A9711A"/>
    <w:rsid w:val="00A977D4"/>
    <w:rsid w:val="00AB0EA9"/>
    <w:rsid w:val="00AB1933"/>
    <w:rsid w:val="00AB559B"/>
    <w:rsid w:val="00AB7758"/>
    <w:rsid w:val="00AC135E"/>
    <w:rsid w:val="00AC26DE"/>
    <w:rsid w:val="00AD0434"/>
    <w:rsid w:val="00AD0FFF"/>
    <w:rsid w:val="00AD3397"/>
    <w:rsid w:val="00AD5EE2"/>
    <w:rsid w:val="00AE3E5F"/>
    <w:rsid w:val="00AE6205"/>
    <w:rsid w:val="00B042F2"/>
    <w:rsid w:val="00B05072"/>
    <w:rsid w:val="00B07653"/>
    <w:rsid w:val="00B12EB9"/>
    <w:rsid w:val="00B22781"/>
    <w:rsid w:val="00B37586"/>
    <w:rsid w:val="00B443CC"/>
    <w:rsid w:val="00B5472E"/>
    <w:rsid w:val="00B5560D"/>
    <w:rsid w:val="00B558F5"/>
    <w:rsid w:val="00B626C4"/>
    <w:rsid w:val="00B63CC5"/>
    <w:rsid w:val="00B64217"/>
    <w:rsid w:val="00B644F9"/>
    <w:rsid w:val="00B67660"/>
    <w:rsid w:val="00B6798D"/>
    <w:rsid w:val="00B76243"/>
    <w:rsid w:val="00B80D53"/>
    <w:rsid w:val="00B83F0F"/>
    <w:rsid w:val="00B8619B"/>
    <w:rsid w:val="00BA1BD1"/>
    <w:rsid w:val="00BB4390"/>
    <w:rsid w:val="00BB463F"/>
    <w:rsid w:val="00BB610E"/>
    <w:rsid w:val="00BD2192"/>
    <w:rsid w:val="00BD4213"/>
    <w:rsid w:val="00BD4898"/>
    <w:rsid w:val="00BE2856"/>
    <w:rsid w:val="00BE67D2"/>
    <w:rsid w:val="00BE75E6"/>
    <w:rsid w:val="00BF3930"/>
    <w:rsid w:val="00BF4502"/>
    <w:rsid w:val="00C04471"/>
    <w:rsid w:val="00C06C75"/>
    <w:rsid w:val="00C123F6"/>
    <w:rsid w:val="00C149AF"/>
    <w:rsid w:val="00C14F10"/>
    <w:rsid w:val="00C15D32"/>
    <w:rsid w:val="00C17FA7"/>
    <w:rsid w:val="00C21FFF"/>
    <w:rsid w:val="00C26FB0"/>
    <w:rsid w:val="00C27FC3"/>
    <w:rsid w:val="00C44236"/>
    <w:rsid w:val="00C44360"/>
    <w:rsid w:val="00C443E6"/>
    <w:rsid w:val="00C62DE8"/>
    <w:rsid w:val="00C6694E"/>
    <w:rsid w:val="00C72E7E"/>
    <w:rsid w:val="00C763A2"/>
    <w:rsid w:val="00C8263A"/>
    <w:rsid w:val="00C911D9"/>
    <w:rsid w:val="00C931AD"/>
    <w:rsid w:val="00CA25B7"/>
    <w:rsid w:val="00CB4BED"/>
    <w:rsid w:val="00CE3BA9"/>
    <w:rsid w:val="00CE75E0"/>
    <w:rsid w:val="00D01DB3"/>
    <w:rsid w:val="00D02970"/>
    <w:rsid w:val="00D03114"/>
    <w:rsid w:val="00D05E09"/>
    <w:rsid w:val="00D11895"/>
    <w:rsid w:val="00D14A38"/>
    <w:rsid w:val="00D20785"/>
    <w:rsid w:val="00D27340"/>
    <w:rsid w:val="00D30C01"/>
    <w:rsid w:val="00D338F8"/>
    <w:rsid w:val="00D3778B"/>
    <w:rsid w:val="00D40597"/>
    <w:rsid w:val="00D41C23"/>
    <w:rsid w:val="00D4614A"/>
    <w:rsid w:val="00D531A7"/>
    <w:rsid w:val="00D54B5D"/>
    <w:rsid w:val="00D562CD"/>
    <w:rsid w:val="00D81162"/>
    <w:rsid w:val="00D85E9F"/>
    <w:rsid w:val="00D875A0"/>
    <w:rsid w:val="00D92245"/>
    <w:rsid w:val="00D922A4"/>
    <w:rsid w:val="00D9618C"/>
    <w:rsid w:val="00DB7592"/>
    <w:rsid w:val="00DC221D"/>
    <w:rsid w:val="00DC3DCE"/>
    <w:rsid w:val="00DC4C22"/>
    <w:rsid w:val="00DC4DCC"/>
    <w:rsid w:val="00DC522D"/>
    <w:rsid w:val="00DD3BA7"/>
    <w:rsid w:val="00DD4F64"/>
    <w:rsid w:val="00DD7883"/>
    <w:rsid w:val="00DE005B"/>
    <w:rsid w:val="00DE0115"/>
    <w:rsid w:val="00DE0B42"/>
    <w:rsid w:val="00DE79D7"/>
    <w:rsid w:val="00DF2291"/>
    <w:rsid w:val="00DF47A9"/>
    <w:rsid w:val="00E0324F"/>
    <w:rsid w:val="00E03E79"/>
    <w:rsid w:val="00E076FA"/>
    <w:rsid w:val="00E077C7"/>
    <w:rsid w:val="00E13EC4"/>
    <w:rsid w:val="00E15E8D"/>
    <w:rsid w:val="00E16D17"/>
    <w:rsid w:val="00E16F45"/>
    <w:rsid w:val="00E174D9"/>
    <w:rsid w:val="00E25CCA"/>
    <w:rsid w:val="00E33863"/>
    <w:rsid w:val="00E34FE7"/>
    <w:rsid w:val="00E35679"/>
    <w:rsid w:val="00E373FF"/>
    <w:rsid w:val="00E41C5F"/>
    <w:rsid w:val="00E4516F"/>
    <w:rsid w:val="00E454EA"/>
    <w:rsid w:val="00E465B7"/>
    <w:rsid w:val="00E51A15"/>
    <w:rsid w:val="00E6758A"/>
    <w:rsid w:val="00E74B53"/>
    <w:rsid w:val="00E87971"/>
    <w:rsid w:val="00E96D87"/>
    <w:rsid w:val="00E97F33"/>
    <w:rsid w:val="00EC266A"/>
    <w:rsid w:val="00EC2739"/>
    <w:rsid w:val="00EC3C23"/>
    <w:rsid w:val="00EC4676"/>
    <w:rsid w:val="00EC5C1B"/>
    <w:rsid w:val="00EC6144"/>
    <w:rsid w:val="00ED3091"/>
    <w:rsid w:val="00ED3AB2"/>
    <w:rsid w:val="00ED3D8C"/>
    <w:rsid w:val="00ED470A"/>
    <w:rsid w:val="00ED50A2"/>
    <w:rsid w:val="00ED58C7"/>
    <w:rsid w:val="00ED66AA"/>
    <w:rsid w:val="00EE0E4F"/>
    <w:rsid w:val="00EE33F6"/>
    <w:rsid w:val="00EE6F86"/>
    <w:rsid w:val="00EE77E6"/>
    <w:rsid w:val="00F004D5"/>
    <w:rsid w:val="00F07C3A"/>
    <w:rsid w:val="00F12DDC"/>
    <w:rsid w:val="00F23235"/>
    <w:rsid w:val="00F34E2E"/>
    <w:rsid w:val="00F425D1"/>
    <w:rsid w:val="00F44CAE"/>
    <w:rsid w:val="00F70E67"/>
    <w:rsid w:val="00F712F1"/>
    <w:rsid w:val="00F72F3E"/>
    <w:rsid w:val="00F75E13"/>
    <w:rsid w:val="00F817B9"/>
    <w:rsid w:val="00F862EB"/>
    <w:rsid w:val="00F92237"/>
    <w:rsid w:val="00FA2844"/>
    <w:rsid w:val="00FA424D"/>
    <w:rsid w:val="00FB01A9"/>
    <w:rsid w:val="00FC3F14"/>
    <w:rsid w:val="00FD0AD7"/>
    <w:rsid w:val="00FD45A2"/>
    <w:rsid w:val="00FD609D"/>
    <w:rsid w:val="00FE5EFA"/>
    <w:rsid w:val="00FE6C58"/>
    <w:rsid w:val="00FE7FAB"/>
    <w:rsid w:val="00FF2C4A"/>
    <w:rsid w:val="00FF3B78"/>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3555AC"/>
  <w15:docId w15:val="{6100F86B-4D5D-449B-B1C8-ECAF5903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
    <w:name w:val="Policy Title"/>
    <w:basedOn w:val="Normal"/>
    <w:link w:val="PolicyTitleChar"/>
    <w:qFormat/>
    <w:rsid w:val="00AB7758"/>
    <w:rPr>
      <w:b/>
      <w:caps/>
      <w:sz w:val="24"/>
    </w:rPr>
  </w:style>
  <w:style w:type="paragraph" w:styleId="ListParagraph">
    <w:name w:val="List Paragraph"/>
    <w:basedOn w:val="Normal"/>
    <w:uiPriority w:val="34"/>
    <w:rsid w:val="00AB7758"/>
    <w:pPr>
      <w:ind w:left="720"/>
      <w:contextualSpacing/>
    </w:pPr>
  </w:style>
  <w:style w:type="character" w:customStyle="1" w:styleId="PolicyTitleChar">
    <w:name w:val="Policy Title Char"/>
    <w:basedOn w:val="DefaultParagraphFont"/>
    <w:link w:val="PolicyTitle"/>
    <w:rsid w:val="00AB7758"/>
    <w:rPr>
      <w:rFonts w:eastAsiaTheme="minorEastAsia"/>
      <w:b/>
      <w:caps/>
      <w:sz w:val="24"/>
    </w:rPr>
  </w:style>
  <w:style w:type="table" w:styleId="TableGrid">
    <w:name w:val="Table Grid"/>
    <w:basedOn w:val="TableNormal"/>
    <w:uiPriority w:val="59"/>
    <w:rsid w:val="00AB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4390"/>
    <w:rPr>
      <w:rFonts w:ascii="Tahoma" w:hAnsi="Tahoma" w:cs="Tahoma"/>
      <w:sz w:val="16"/>
      <w:szCs w:val="16"/>
    </w:rPr>
  </w:style>
  <w:style w:type="character" w:customStyle="1" w:styleId="BalloonTextChar">
    <w:name w:val="Balloon Text Char"/>
    <w:basedOn w:val="DefaultParagraphFont"/>
    <w:link w:val="BalloonText"/>
    <w:uiPriority w:val="99"/>
    <w:semiHidden/>
    <w:rsid w:val="00BB4390"/>
    <w:rPr>
      <w:rFonts w:ascii="Tahoma" w:eastAsiaTheme="minorEastAsia" w:hAnsi="Tahoma" w:cs="Tahoma"/>
      <w:sz w:val="16"/>
      <w:szCs w:val="16"/>
    </w:rPr>
  </w:style>
  <w:style w:type="character" w:styleId="Strong">
    <w:name w:val="Strong"/>
    <w:basedOn w:val="DefaultParagraphFont"/>
    <w:uiPriority w:val="22"/>
    <w:qFormat/>
    <w:rsid w:val="001445BD"/>
    <w:rPr>
      <w:b/>
      <w:bCs/>
    </w:rPr>
  </w:style>
  <w:style w:type="character" w:styleId="PlaceholderText">
    <w:name w:val="Placeholder Text"/>
    <w:basedOn w:val="DefaultParagraphFont"/>
    <w:uiPriority w:val="99"/>
    <w:semiHidden/>
    <w:rsid w:val="00D4614A"/>
    <w:rPr>
      <w:color w:val="808080"/>
    </w:rPr>
  </w:style>
  <w:style w:type="paragraph" w:styleId="Header">
    <w:name w:val="header"/>
    <w:basedOn w:val="Normal"/>
    <w:link w:val="HeaderChar"/>
    <w:uiPriority w:val="99"/>
    <w:unhideWhenUsed/>
    <w:rsid w:val="00D03114"/>
    <w:pPr>
      <w:tabs>
        <w:tab w:val="center" w:pos="4680"/>
        <w:tab w:val="right" w:pos="9360"/>
      </w:tabs>
    </w:pPr>
  </w:style>
  <w:style w:type="character" w:customStyle="1" w:styleId="HeaderChar">
    <w:name w:val="Header Char"/>
    <w:basedOn w:val="DefaultParagraphFont"/>
    <w:link w:val="Header"/>
    <w:uiPriority w:val="99"/>
    <w:rsid w:val="00D03114"/>
    <w:rPr>
      <w:rFonts w:eastAsiaTheme="minorEastAsia"/>
    </w:rPr>
  </w:style>
  <w:style w:type="paragraph" w:styleId="Footer">
    <w:name w:val="footer"/>
    <w:basedOn w:val="Normal"/>
    <w:link w:val="FooterChar"/>
    <w:uiPriority w:val="99"/>
    <w:unhideWhenUsed/>
    <w:rsid w:val="00D03114"/>
    <w:pPr>
      <w:tabs>
        <w:tab w:val="center" w:pos="4680"/>
        <w:tab w:val="right" w:pos="9360"/>
      </w:tabs>
    </w:pPr>
  </w:style>
  <w:style w:type="character" w:customStyle="1" w:styleId="FooterChar">
    <w:name w:val="Footer Char"/>
    <w:basedOn w:val="DefaultParagraphFont"/>
    <w:link w:val="Footer"/>
    <w:uiPriority w:val="99"/>
    <w:rsid w:val="00D03114"/>
    <w:rPr>
      <w:rFonts w:eastAsiaTheme="minorEastAsia"/>
    </w:rPr>
  </w:style>
  <w:style w:type="character" w:customStyle="1" w:styleId="PolicyReviewSignature">
    <w:name w:val="Policy Review Signature"/>
    <w:basedOn w:val="DefaultParagraphFont"/>
    <w:uiPriority w:val="1"/>
    <w:rsid w:val="008019F6"/>
    <w:rPr>
      <w:rFonts w:ascii="Kunstler Script" w:hAnsi="Kunstler Script"/>
      <w:sz w:val="40"/>
    </w:rPr>
  </w:style>
  <w:style w:type="character" w:customStyle="1" w:styleId="ApprovingAuthoritySignature">
    <w:name w:val="Approving Authority Signature"/>
    <w:basedOn w:val="DefaultParagraphFont"/>
    <w:uiPriority w:val="1"/>
    <w:qFormat/>
    <w:rsid w:val="00E454EA"/>
    <w:rPr>
      <w:rFonts w:ascii="Edwardian Script ITC" w:hAnsi="Edwardian Script ITC"/>
      <w:sz w:val="56"/>
    </w:rPr>
  </w:style>
  <w:style w:type="paragraph" w:styleId="NormalWeb">
    <w:name w:val="Normal (Web)"/>
    <w:basedOn w:val="Normal"/>
    <w:uiPriority w:val="99"/>
    <w:unhideWhenUsed/>
    <w:rsid w:val="00120F59"/>
    <w:pPr>
      <w:spacing w:after="150"/>
    </w:pPr>
    <w:rPr>
      <w:rFonts w:eastAsia="Times New Roman"/>
      <w:sz w:val="24"/>
      <w:szCs w:val="24"/>
    </w:rPr>
  </w:style>
  <w:style w:type="character" w:styleId="Emphasis">
    <w:name w:val="Emphasis"/>
    <w:basedOn w:val="DefaultParagraphFont"/>
    <w:uiPriority w:val="20"/>
    <w:qFormat/>
    <w:rsid w:val="00120F59"/>
    <w:rPr>
      <w:i/>
      <w:iCs/>
    </w:rPr>
  </w:style>
  <w:style w:type="character" w:styleId="CommentReference">
    <w:name w:val="annotation reference"/>
    <w:basedOn w:val="DefaultParagraphFont"/>
    <w:uiPriority w:val="99"/>
    <w:semiHidden/>
    <w:unhideWhenUsed/>
    <w:rsid w:val="009C4522"/>
    <w:rPr>
      <w:sz w:val="16"/>
      <w:szCs w:val="16"/>
    </w:rPr>
  </w:style>
  <w:style w:type="paragraph" w:styleId="CommentText">
    <w:name w:val="annotation text"/>
    <w:basedOn w:val="Normal"/>
    <w:link w:val="CommentTextChar"/>
    <w:uiPriority w:val="99"/>
    <w:unhideWhenUsed/>
    <w:rsid w:val="009C452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452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562CD"/>
    <w:pPr>
      <w:spacing w:after="12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D562CD"/>
    <w:rPr>
      <w:rFonts w:asciiTheme="minorHAnsi" w:eastAsiaTheme="minorEastAsia" w:hAnsiTheme="minorHAnsi" w:cstheme="minorBidi"/>
      <w:b/>
      <w:bCs/>
      <w:sz w:val="20"/>
      <w:szCs w:val="20"/>
    </w:rPr>
  </w:style>
  <w:style w:type="paragraph" w:styleId="Revision">
    <w:name w:val="Revision"/>
    <w:hidden/>
    <w:uiPriority w:val="99"/>
    <w:semiHidden/>
    <w:rsid w:val="00C8263A"/>
    <w:pPr>
      <w:spacing w:after="0"/>
    </w:pPr>
    <w:rPr>
      <w:rFonts w:eastAsiaTheme="minorEastAsia"/>
    </w:rPr>
  </w:style>
  <w:style w:type="character" w:styleId="Hyperlink">
    <w:name w:val="Hyperlink"/>
    <w:basedOn w:val="DefaultParagraphFont"/>
    <w:uiPriority w:val="99"/>
    <w:unhideWhenUsed/>
    <w:rsid w:val="00F34E2E"/>
    <w:rPr>
      <w:color w:val="0000FF" w:themeColor="hyperlink"/>
      <w:u w:val="single"/>
    </w:rPr>
  </w:style>
  <w:style w:type="character" w:styleId="UnresolvedMention">
    <w:name w:val="Unresolved Mention"/>
    <w:basedOn w:val="DefaultParagraphFont"/>
    <w:uiPriority w:val="99"/>
    <w:semiHidden/>
    <w:unhideWhenUsed/>
    <w:rsid w:val="00F34E2E"/>
    <w:rPr>
      <w:color w:val="605E5C"/>
      <w:shd w:val="clear" w:color="auto" w:fill="E1DFDD"/>
    </w:rPr>
  </w:style>
  <w:style w:type="character" w:styleId="FollowedHyperlink">
    <w:name w:val="FollowedHyperlink"/>
    <w:basedOn w:val="DefaultParagraphFont"/>
    <w:uiPriority w:val="99"/>
    <w:semiHidden/>
    <w:unhideWhenUsed/>
    <w:rsid w:val="00FA28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roller.vpfa.fsu.edu/sites/default/files/media/doc/AccountsPayable/Expenditure_Guideline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troller.vpfa.fsu.edu/sites/default/files/media/doc/AccountsPayable/Expenditure_Guideli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senate.gov/Laws/Statutes/2018/55.0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floridacfo.com/aadir/reference_guide/Reference_Guide_For_State_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daniels\Downloads\Policy-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726DA644C4E37B840B3D4FFAA3ED5"/>
        <w:category>
          <w:name w:val="General"/>
          <w:gallery w:val="placeholder"/>
        </w:category>
        <w:types>
          <w:type w:val="bbPlcHdr"/>
        </w:types>
        <w:behaviors>
          <w:behavior w:val="content"/>
        </w:behaviors>
        <w:guid w:val="{C34AF23C-0050-474A-A053-6880DC55B37C}"/>
      </w:docPartPr>
      <w:docPartBody>
        <w:p w:rsidR="006B6672" w:rsidRDefault="00862346">
          <w:pPr>
            <w:pStyle w:val="600726DA644C4E37B840B3D4FFAA3ED5"/>
          </w:pPr>
          <w:r>
            <w:rPr>
              <w:rStyle w:val="PlaceholderText"/>
            </w:rPr>
            <w:t>NUMBER</w:t>
          </w:r>
        </w:p>
      </w:docPartBody>
    </w:docPart>
    <w:docPart>
      <w:docPartPr>
        <w:name w:val="78787CAD8C994FC5A819C758D13F11B5"/>
        <w:category>
          <w:name w:val="General"/>
          <w:gallery w:val="placeholder"/>
        </w:category>
        <w:types>
          <w:type w:val="bbPlcHdr"/>
        </w:types>
        <w:behaviors>
          <w:behavior w:val="content"/>
        </w:behaviors>
        <w:guid w:val="{0AF2BC14-85E8-4C66-80D2-52D2E8B4E924}"/>
      </w:docPartPr>
      <w:docPartBody>
        <w:p w:rsidR="006B6672" w:rsidRDefault="00862346">
          <w:pPr>
            <w:pStyle w:val="78787CAD8C994FC5A819C758D13F11B5"/>
          </w:pPr>
          <w:r w:rsidRPr="00083929">
            <w:rPr>
              <w:rStyle w:val="PlaceholderText"/>
            </w:rPr>
            <w:t xml:space="preserve">Click here to enter </w:t>
          </w:r>
          <w:r>
            <w:rPr>
              <w:rStyle w:val="PlaceholderText"/>
            </w:rPr>
            <w:t xml:space="preserve">POLICY </w:t>
          </w:r>
          <w:r w:rsidRPr="00083929">
            <w:rPr>
              <w:rStyle w:val="PlaceholderText"/>
            </w:rPr>
            <w:t>t</w:t>
          </w:r>
          <w:r>
            <w:rPr>
              <w:rStyle w:val="PlaceholderText"/>
            </w:rPr>
            <w:t>ITLE</w:t>
          </w:r>
        </w:p>
      </w:docPartBody>
    </w:docPart>
    <w:docPart>
      <w:docPartPr>
        <w:name w:val="4687E60E0055460DBA87ECCB857A5303"/>
        <w:category>
          <w:name w:val="General"/>
          <w:gallery w:val="placeholder"/>
        </w:category>
        <w:types>
          <w:type w:val="bbPlcHdr"/>
        </w:types>
        <w:behaviors>
          <w:behavior w:val="content"/>
        </w:behaviors>
        <w:guid w:val="{D0321C15-4301-4728-A248-7F269C3D3949}"/>
      </w:docPartPr>
      <w:docPartBody>
        <w:p w:rsidR="006B6672" w:rsidRDefault="00862346">
          <w:pPr>
            <w:pStyle w:val="4687E60E0055460DBA87ECCB857A5303"/>
          </w:pPr>
          <w:r w:rsidRPr="00083929">
            <w:rPr>
              <w:rStyle w:val="PlaceholderText"/>
            </w:rPr>
            <w:t>Click here to enter</w:t>
          </w:r>
        </w:p>
      </w:docPartBody>
    </w:docPart>
    <w:docPart>
      <w:docPartPr>
        <w:name w:val="244704BE770947178617C12534B943CA"/>
        <w:category>
          <w:name w:val="General"/>
          <w:gallery w:val="placeholder"/>
        </w:category>
        <w:types>
          <w:type w:val="bbPlcHdr"/>
        </w:types>
        <w:behaviors>
          <w:behavior w:val="content"/>
        </w:behaviors>
        <w:guid w:val="{EB074154-E0A9-4615-9BE2-B4148921799B}"/>
      </w:docPartPr>
      <w:docPartBody>
        <w:p w:rsidR="006B6672" w:rsidRDefault="00862346">
          <w:pPr>
            <w:pStyle w:val="244704BE770947178617C12534B943CA"/>
          </w:pPr>
          <w:r w:rsidRPr="00083929">
            <w:rPr>
              <w:rStyle w:val="PlaceholderText"/>
            </w:rPr>
            <w:t>Click here to enter</w:t>
          </w:r>
        </w:p>
      </w:docPartBody>
    </w:docPart>
    <w:docPart>
      <w:docPartPr>
        <w:name w:val="78125ACC90C941E88AB61F1A2A876998"/>
        <w:category>
          <w:name w:val="General"/>
          <w:gallery w:val="placeholder"/>
        </w:category>
        <w:types>
          <w:type w:val="bbPlcHdr"/>
        </w:types>
        <w:behaviors>
          <w:behavior w:val="content"/>
        </w:behaviors>
        <w:guid w:val="{E20D0752-45EE-484E-91C0-9CAC7BD8ADED}"/>
      </w:docPartPr>
      <w:docPartBody>
        <w:p w:rsidR="006B6672" w:rsidRDefault="00862346">
          <w:pPr>
            <w:pStyle w:val="78125ACC90C941E88AB61F1A2A876998"/>
          </w:pPr>
          <w:r>
            <w:rPr>
              <w:rStyle w:val="PlaceholderText"/>
            </w:rPr>
            <w:t>Example Text – 3-27-2014</w:t>
          </w:r>
        </w:p>
      </w:docPartBody>
    </w:docPart>
    <w:docPart>
      <w:docPartPr>
        <w:name w:val="C5EF3BFB5D1446A085FC25A3981906CC"/>
        <w:category>
          <w:name w:val="General"/>
          <w:gallery w:val="placeholder"/>
        </w:category>
        <w:types>
          <w:type w:val="bbPlcHdr"/>
        </w:types>
        <w:behaviors>
          <w:behavior w:val="content"/>
        </w:behaviors>
        <w:guid w:val="{185E8DF7-D374-4917-BAF8-5A4502AD0A85}"/>
      </w:docPartPr>
      <w:docPartBody>
        <w:p w:rsidR="006B6672" w:rsidRDefault="00862346">
          <w:pPr>
            <w:pStyle w:val="C5EF3BFB5D1446A085FC25A3981906CC"/>
          </w:pPr>
          <w:r>
            <w:rPr>
              <w:rStyle w:val="PlaceholderText"/>
            </w:rPr>
            <w:t>Example Text   ─   7-21-1967; 6-24-1977; 1-1-2001; 3-27-2014</w:t>
          </w:r>
        </w:p>
      </w:docPartBody>
    </w:docPart>
    <w:docPart>
      <w:docPartPr>
        <w:name w:val="DEB785AAF3A245529F5A6C15F744E444"/>
        <w:category>
          <w:name w:val="General"/>
          <w:gallery w:val="placeholder"/>
        </w:category>
        <w:types>
          <w:type w:val="bbPlcHdr"/>
        </w:types>
        <w:behaviors>
          <w:behavior w:val="content"/>
        </w:behaviors>
        <w:guid w:val="{937F3BD0-4B6E-4351-94DE-ED1DDA5B7F67}"/>
      </w:docPartPr>
      <w:docPartBody>
        <w:p w:rsidR="006B6672" w:rsidRDefault="00862346">
          <w:pPr>
            <w:pStyle w:val="DEB785AAF3A245529F5A6C15F744E444"/>
          </w:pPr>
          <w:r w:rsidRPr="00083929">
            <w:rPr>
              <w:rStyle w:val="PlaceholderText"/>
            </w:rPr>
            <w:t xml:space="preserve">Click here to enter </w:t>
          </w:r>
          <w:r>
            <w:rPr>
              <w:rStyle w:val="PlaceholderText"/>
            </w:rPr>
            <w:t xml:space="preserve">Introduction </w:t>
          </w:r>
          <w:r w:rsidRPr="00083929">
            <w:rPr>
              <w:rStyle w:val="PlaceholderText"/>
            </w:rPr>
            <w:t>text.</w:t>
          </w:r>
        </w:p>
      </w:docPartBody>
    </w:docPart>
    <w:docPart>
      <w:docPartPr>
        <w:name w:val="14D37F4395BC45B488B532B08DC347D0"/>
        <w:category>
          <w:name w:val="General"/>
          <w:gallery w:val="placeholder"/>
        </w:category>
        <w:types>
          <w:type w:val="bbPlcHdr"/>
        </w:types>
        <w:behaviors>
          <w:behavior w:val="content"/>
        </w:behaviors>
        <w:guid w:val="{DF18FAC9-7977-4A89-B5C0-642A316657C1}"/>
      </w:docPartPr>
      <w:docPartBody>
        <w:p w:rsidR="006B6672" w:rsidRDefault="00862346">
          <w:pPr>
            <w:pStyle w:val="14D37F4395BC45B488B532B08DC347D0"/>
          </w:pPr>
          <w:r w:rsidRPr="00083929">
            <w:rPr>
              <w:rStyle w:val="PlaceholderText"/>
            </w:rPr>
            <w:t xml:space="preserve">Click here to enter </w:t>
          </w:r>
          <w:r>
            <w:rPr>
              <w:rStyle w:val="PlaceholderText"/>
            </w:rPr>
            <w:t>Policy</w:t>
          </w:r>
        </w:p>
      </w:docPartBody>
    </w:docPart>
    <w:docPart>
      <w:docPartPr>
        <w:name w:val="CC4D74B8B2FE4F389DCE112C51763173"/>
        <w:category>
          <w:name w:val="General"/>
          <w:gallery w:val="placeholder"/>
        </w:category>
        <w:types>
          <w:type w:val="bbPlcHdr"/>
        </w:types>
        <w:behaviors>
          <w:behavior w:val="content"/>
        </w:behaviors>
        <w:guid w:val="{CF6A3585-431D-48E8-AB40-90C35EF014C1}"/>
      </w:docPartPr>
      <w:docPartBody>
        <w:p w:rsidR="006B6672" w:rsidRDefault="00862346">
          <w:pPr>
            <w:pStyle w:val="CC4D74B8B2FE4F389DCE112C51763173"/>
          </w:pPr>
          <w:r w:rsidRPr="00083929">
            <w:rPr>
              <w:rStyle w:val="PlaceholderText"/>
            </w:rPr>
            <w:t xml:space="preserve">Click here to enter </w:t>
          </w:r>
          <w:r>
            <w:rPr>
              <w:rStyle w:val="PlaceholderText"/>
            </w:rPr>
            <w:t>Support Information for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72"/>
    <w:rsid w:val="001B3676"/>
    <w:rsid w:val="00245F48"/>
    <w:rsid w:val="00360451"/>
    <w:rsid w:val="00392155"/>
    <w:rsid w:val="00490CEB"/>
    <w:rsid w:val="006B6672"/>
    <w:rsid w:val="00862346"/>
    <w:rsid w:val="00A25675"/>
    <w:rsid w:val="00B47A17"/>
    <w:rsid w:val="00BD4E65"/>
    <w:rsid w:val="00C0123A"/>
    <w:rsid w:val="00E5271C"/>
    <w:rsid w:val="00F8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0726DA644C4E37B840B3D4FFAA3ED5">
    <w:name w:val="600726DA644C4E37B840B3D4FFAA3ED5"/>
  </w:style>
  <w:style w:type="paragraph" w:customStyle="1" w:styleId="78787CAD8C994FC5A819C758D13F11B5">
    <w:name w:val="78787CAD8C994FC5A819C758D13F11B5"/>
  </w:style>
  <w:style w:type="paragraph" w:customStyle="1" w:styleId="4687E60E0055460DBA87ECCB857A5303">
    <w:name w:val="4687E60E0055460DBA87ECCB857A5303"/>
  </w:style>
  <w:style w:type="paragraph" w:customStyle="1" w:styleId="244704BE770947178617C12534B943CA">
    <w:name w:val="244704BE770947178617C12534B943CA"/>
  </w:style>
  <w:style w:type="paragraph" w:customStyle="1" w:styleId="78125ACC90C941E88AB61F1A2A876998">
    <w:name w:val="78125ACC90C941E88AB61F1A2A876998"/>
  </w:style>
  <w:style w:type="paragraph" w:customStyle="1" w:styleId="C5EF3BFB5D1446A085FC25A3981906CC">
    <w:name w:val="C5EF3BFB5D1446A085FC25A3981906CC"/>
  </w:style>
  <w:style w:type="paragraph" w:customStyle="1" w:styleId="DEB785AAF3A245529F5A6C15F744E444">
    <w:name w:val="DEB785AAF3A245529F5A6C15F744E444"/>
  </w:style>
  <w:style w:type="paragraph" w:customStyle="1" w:styleId="14D37F4395BC45B488B532B08DC347D0">
    <w:name w:val="14D37F4395BC45B488B532B08DC347D0"/>
  </w:style>
  <w:style w:type="paragraph" w:customStyle="1" w:styleId="CC4D74B8B2FE4F389DCE112C51763173">
    <w:name w:val="CC4D74B8B2FE4F389DCE112C51763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CFECDA9C018943ADABE0D28E15463C" ma:contentTypeVersion="13" ma:contentTypeDescription="Create a new document." ma:contentTypeScope="" ma:versionID="dbecb18cf5f0a75012e5d6876b543fbc">
  <xsd:schema xmlns:xsd="http://www.w3.org/2001/XMLSchema" xmlns:xs="http://www.w3.org/2001/XMLSchema" xmlns:p="http://schemas.microsoft.com/office/2006/metadata/properties" xmlns:ns3="9895b6f7-5342-4497-8022-5b96a6942951" xmlns:ns4="43003737-617f-4e39-a158-588bac05c4eb" targetNamespace="http://schemas.microsoft.com/office/2006/metadata/properties" ma:root="true" ma:fieldsID="79dc54ad4c2f097ab1daed623d46300f" ns3:_="" ns4:_="">
    <xsd:import namespace="9895b6f7-5342-4497-8022-5b96a6942951"/>
    <xsd:import namespace="43003737-617f-4e39-a158-588bac05c4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5b6f7-5342-4497-8022-5b96a69429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03737-617f-4e39-a158-588bac05c4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233C0-17F6-4974-84FB-E12FFA2CAC4C}">
  <ds:schemaRefs>
    <ds:schemaRef ds:uri="http://www.w3.org/XML/1998/namespace"/>
    <ds:schemaRef ds:uri="43003737-617f-4e39-a158-588bac05c4eb"/>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9895b6f7-5342-4497-8022-5b96a6942951"/>
    <ds:schemaRef ds:uri="http://purl.org/dc/terms/"/>
  </ds:schemaRefs>
</ds:datastoreItem>
</file>

<file path=customXml/itemProps2.xml><?xml version="1.0" encoding="utf-8"?>
<ds:datastoreItem xmlns:ds="http://schemas.openxmlformats.org/officeDocument/2006/customXml" ds:itemID="{910E183D-3F61-4E4F-B22E-FD9E4A486607}">
  <ds:schemaRefs>
    <ds:schemaRef ds:uri="http://schemas.microsoft.com/sharepoint/v3/contenttype/forms"/>
  </ds:schemaRefs>
</ds:datastoreItem>
</file>

<file path=customXml/itemProps3.xml><?xml version="1.0" encoding="utf-8"?>
<ds:datastoreItem xmlns:ds="http://schemas.openxmlformats.org/officeDocument/2006/customXml" ds:itemID="{38A8B147-8742-48C6-AECF-82017343A0B0}">
  <ds:schemaRefs>
    <ds:schemaRef ds:uri="http://schemas.openxmlformats.org/officeDocument/2006/bibliography"/>
  </ds:schemaRefs>
</ds:datastoreItem>
</file>

<file path=customXml/itemProps4.xml><?xml version="1.0" encoding="utf-8"?>
<ds:datastoreItem xmlns:ds="http://schemas.openxmlformats.org/officeDocument/2006/customXml" ds:itemID="{664EA3BA-582D-438E-A557-BC087F4A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5b6f7-5342-4497-8022-5b96a6942951"/>
    <ds:schemaRef ds:uri="43003737-617f-4e39-a158-588bac05c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Policy-Template.dotx</Template>
  <TotalTime>0</TotalTime>
  <Pages>8</Pages>
  <Words>2542</Words>
  <Characters>14493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FSU Policy Template</vt:lpstr>
    </vt:vector>
  </TitlesOfParts>
  <Company>ITS</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FSU Policy Template</dc:title>
  <dc:creator>Carla Daniels</dc:creator>
  <cp:lastModifiedBy>Melanie Welch</cp:lastModifiedBy>
  <cp:revision>2</cp:revision>
  <cp:lastPrinted>2020-08-28T11:49:00Z</cp:lastPrinted>
  <dcterms:created xsi:type="dcterms:W3CDTF">2021-11-17T12:58:00Z</dcterms:created>
  <dcterms:modified xsi:type="dcterms:W3CDTF">2021-11-17T12:58:00Z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0x010100F5CFECDA9C018943ADABE0D28E15463C</vt:lpwstr>
  </property>
</Properties>
</file>